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2B3BF364"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w:t>
      </w:r>
      <w:r w:rsidR="00B02391">
        <w:rPr>
          <w:rFonts w:ascii="Arial" w:eastAsia="SimSun" w:hAnsi="Arial" w:cs="Arial"/>
          <w:b/>
          <w:sz w:val="24"/>
          <w:szCs w:val="20"/>
          <w:lang w:val="en-US"/>
        </w:rPr>
        <w:t>1</w:t>
      </w:r>
      <w:r w:rsidR="00ED7600" w:rsidRPr="0013167C">
        <w:rPr>
          <w:rFonts w:ascii="Arial" w:eastAsia="SimSun" w:hAnsi="Arial" w:cs="Arial"/>
          <w:b/>
          <w:sz w:val="24"/>
          <w:szCs w:val="20"/>
          <w:lang w:val="en-US"/>
        </w:rPr>
        <w:t xml:space="preserve"> Meeting #</w:t>
      </w:r>
      <w:r w:rsidR="00DE7064" w:rsidRPr="0013167C">
        <w:rPr>
          <w:rFonts w:ascii="Arial" w:eastAsia="SimSun" w:hAnsi="Arial" w:cs="Arial"/>
          <w:b/>
          <w:sz w:val="24"/>
          <w:szCs w:val="20"/>
          <w:lang w:val="en-US"/>
        </w:rPr>
        <w:t>1</w:t>
      </w:r>
      <w:r w:rsidR="00E23CBE">
        <w:rPr>
          <w:rFonts w:ascii="Arial" w:eastAsia="SimSun" w:hAnsi="Arial" w:cs="Arial"/>
          <w:b/>
          <w:sz w:val="24"/>
          <w:szCs w:val="20"/>
          <w:lang w:val="en-US"/>
        </w:rPr>
        <w:t>2</w:t>
      </w:r>
      <w:r w:rsidR="00AC5B13">
        <w:rPr>
          <w:rFonts w:ascii="Arial" w:eastAsia="SimSun" w:hAnsi="Arial" w:cs="Arial"/>
          <w:b/>
          <w:sz w:val="24"/>
          <w:szCs w:val="20"/>
          <w:lang w:val="en-US"/>
        </w:rPr>
        <w:t>3</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w:t>
      </w:r>
      <w:r w:rsidR="00D81811">
        <w:rPr>
          <w:rFonts w:ascii="Arial" w:eastAsia="SimSun" w:hAnsi="Arial" w:cs="Arial"/>
          <w:b/>
          <w:bCs/>
          <w:sz w:val="24"/>
          <w:szCs w:val="20"/>
          <w:lang w:val="en-US" w:eastAsia="ja-JP"/>
        </w:rPr>
        <w:t>1</w:t>
      </w:r>
      <w:r w:rsidR="00101253" w:rsidRPr="00101253">
        <w:rPr>
          <w:rFonts w:ascii="Arial" w:eastAsia="SimSun" w:hAnsi="Arial" w:cs="Arial"/>
          <w:b/>
          <w:bCs/>
          <w:sz w:val="24"/>
          <w:szCs w:val="20"/>
          <w:lang w:val="en-US" w:eastAsia="ja-JP"/>
        </w:rPr>
        <w:t>-25</w:t>
      </w:r>
      <w:r w:rsidR="0081568D">
        <w:rPr>
          <w:rFonts w:ascii="Arial" w:eastAsia="SimSun" w:hAnsi="Arial" w:cs="Arial"/>
          <w:b/>
          <w:bCs/>
          <w:sz w:val="24"/>
          <w:szCs w:val="20"/>
          <w:lang w:val="en-US" w:eastAsia="ja-JP"/>
        </w:rPr>
        <w:t>0</w:t>
      </w:r>
      <w:r w:rsidR="00F849A9">
        <w:rPr>
          <w:rFonts w:ascii="Arial" w:eastAsia="SimSun" w:hAnsi="Arial" w:cs="Arial"/>
          <w:b/>
          <w:bCs/>
          <w:sz w:val="24"/>
          <w:szCs w:val="20"/>
          <w:lang w:val="en-US" w:eastAsia="ja-JP"/>
        </w:rPr>
        <w:t>9410</w:t>
      </w:r>
    </w:p>
    <w:p w14:paraId="10A3C6A0" w14:textId="4703E5ED" w:rsidR="00841BCD" w:rsidRPr="001D02DE" w:rsidRDefault="00D81811"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Dallas</w:t>
      </w:r>
      <w:r w:rsidR="001D02DE" w:rsidRPr="004255A6">
        <w:rPr>
          <w:rFonts w:ascii="Arial" w:hAnsi="Arial" w:cs="Arial"/>
          <w:b/>
          <w:bCs/>
          <w:sz w:val="24"/>
          <w:szCs w:val="24"/>
          <w:lang w:val="en-US"/>
        </w:rPr>
        <w:t xml:space="preserve">, </w:t>
      </w:r>
      <w:r>
        <w:rPr>
          <w:rFonts w:ascii="Arial" w:hAnsi="Arial" w:cs="Arial"/>
          <w:b/>
          <w:bCs/>
          <w:sz w:val="24"/>
          <w:szCs w:val="24"/>
          <w:lang w:val="en-US"/>
        </w:rPr>
        <w:t>US</w:t>
      </w:r>
      <w:r w:rsidR="001D02DE" w:rsidRPr="004255A6">
        <w:rPr>
          <w:rFonts w:ascii="Arial" w:hAnsi="Arial" w:cs="Arial"/>
          <w:b/>
          <w:bCs/>
          <w:sz w:val="24"/>
          <w:szCs w:val="24"/>
          <w:lang w:val="en-US"/>
        </w:rPr>
        <w:t xml:space="preserve">, </w:t>
      </w:r>
      <w:r>
        <w:rPr>
          <w:rFonts w:ascii="Arial" w:hAnsi="Arial" w:cs="Arial"/>
          <w:b/>
          <w:bCs/>
          <w:sz w:val="24"/>
          <w:szCs w:val="24"/>
          <w:lang w:val="en-US"/>
        </w:rPr>
        <w:t>November</w:t>
      </w:r>
      <w:r w:rsidR="001D02DE" w:rsidRPr="004255A6">
        <w:rPr>
          <w:rFonts w:ascii="Arial" w:hAnsi="Arial" w:cs="Arial"/>
          <w:b/>
          <w:bCs/>
          <w:sz w:val="24"/>
          <w:szCs w:val="24"/>
          <w:lang w:val="en-US"/>
        </w:rPr>
        <w:t xml:space="preserve"> </w:t>
      </w:r>
      <w:r w:rsidR="00602E7C">
        <w:rPr>
          <w:rFonts w:ascii="Arial" w:hAnsi="Arial" w:cs="Arial"/>
          <w:b/>
          <w:bCs/>
          <w:sz w:val="24"/>
          <w:szCs w:val="24"/>
          <w:lang w:val="en-US"/>
        </w:rPr>
        <w:t>1</w:t>
      </w:r>
      <w:r>
        <w:rPr>
          <w:rFonts w:ascii="Arial" w:hAnsi="Arial" w:cs="Arial"/>
          <w:b/>
          <w:bCs/>
          <w:sz w:val="24"/>
          <w:szCs w:val="24"/>
          <w:lang w:val="en-US"/>
        </w:rPr>
        <w:t>7</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Pr>
          <w:rFonts w:ascii="Arial" w:hAnsi="Arial" w:cs="Arial"/>
          <w:b/>
          <w:bCs/>
          <w:sz w:val="24"/>
          <w:szCs w:val="24"/>
          <w:lang w:val="en-US"/>
        </w:rPr>
        <w:t>21</w:t>
      </w:r>
      <w:r>
        <w:rPr>
          <w:rFonts w:ascii="Arial" w:hAnsi="Arial" w:cs="Arial"/>
          <w:b/>
          <w:bCs/>
          <w:sz w:val="24"/>
          <w:szCs w:val="24"/>
          <w:vertAlign w:val="superscript"/>
          <w:lang w:val="en-US"/>
        </w:rPr>
        <w:t>st</w:t>
      </w:r>
      <w:r w:rsidR="001D02DE" w:rsidRPr="004255A6">
        <w:rPr>
          <w:rFonts w:ascii="Arial" w:hAnsi="Arial" w:cs="Arial"/>
          <w:b/>
          <w:bCs/>
          <w:sz w:val="24"/>
          <w:szCs w:val="24"/>
          <w:lang w:val="en-US"/>
        </w:rPr>
        <w:t>,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CA10EC5" w:rsidR="00841BCD" w:rsidRPr="0013167C" w:rsidRDefault="00841BCD" w:rsidP="00E23CBE">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482B3FE2"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11.3.1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6F362E" w:rsidRDefault="00841BCD" w:rsidP="004D2D88">
      <w:pPr>
        <w:pStyle w:val="RAN4H1"/>
        <w:rPr>
          <w:rFonts w:cs="Arial"/>
          <w:b/>
          <w:bCs/>
          <w:sz w:val="32"/>
          <w:szCs w:val="18"/>
          <w:lang w:val="en-US"/>
        </w:rPr>
      </w:pPr>
      <w:bookmarkStart w:id="5" w:name="_Toc116995841"/>
      <w:bookmarkStart w:id="6" w:name="_Ref176878965"/>
      <w:bookmarkStart w:id="7" w:name="_Ref176878967"/>
      <w:bookmarkStart w:id="8" w:name="_Ref176878968"/>
      <w:bookmarkStart w:id="9" w:name="_Ref176878971"/>
      <w:r w:rsidRPr="006F362E">
        <w:rPr>
          <w:rFonts w:cs="Arial"/>
          <w:b/>
          <w:bCs/>
          <w:sz w:val="32"/>
          <w:szCs w:val="18"/>
          <w:lang w:val="en-US"/>
        </w:rPr>
        <w:t>Intro</w:t>
      </w:r>
      <w:r w:rsidRPr="006F362E">
        <w:rPr>
          <w:rStyle w:val="RAN4H1Char"/>
          <w:rFonts w:cs="Arial"/>
          <w:b/>
          <w:bCs/>
          <w:sz w:val="32"/>
          <w:szCs w:val="18"/>
          <w:lang w:val="en-US"/>
        </w:rPr>
        <w:t>ductio</w:t>
      </w:r>
      <w:r w:rsidRPr="006F362E">
        <w:rPr>
          <w:rFonts w:cs="Arial"/>
          <w:b/>
          <w:bCs/>
          <w:sz w:val="32"/>
          <w:szCs w:val="18"/>
          <w:lang w:val="en-US"/>
        </w:rPr>
        <w:t>n</w:t>
      </w:r>
      <w:bookmarkEnd w:id="5"/>
      <w:bookmarkEnd w:id="6"/>
      <w:bookmarkEnd w:id="7"/>
      <w:bookmarkEnd w:id="8"/>
      <w:bookmarkEnd w:id="9"/>
      <w:r w:rsidR="00E326B1" w:rsidRPr="006F362E">
        <w:rPr>
          <w:rFonts w:cs="Arial"/>
          <w:b/>
          <w:bCs/>
          <w:sz w:val="32"/>
          <w:szCs w:val="18"/>
          <w:lang w:val="en-US"/>
        </w:rPr>
        <w:t xml:space="preserve"> </w:t>
      </w:r>
    </w:p>
    <w:p w14:paraId="034B0D9A" w14:textId="590976DE" w:rsidR="00C96306" w:rsidRPr="001C389F" w:rsidRDefault="00C96306" w:rsidP="001C389F">
      <w:pPr>
        <w:pStyle w:val="RAN4H1"/>
        <w:numPr>
          <w:ilvl w:val="0"/>
          <w:numId w:val="0"/>
        </w:numPr>
        <w:rPr>
          <w:rFonts w:ascii="Times New Roman" w:hAnsi="Times New Roman"/>
          <w:sz w:val="22"/>
          <w:szCs w:val="22"/>
          <w:lang w:val="en-US"/>
        </w:rPr>
      </w:pPr>
      <w:r w:rsidRPr="001C389F">
        <w:rPr>
          <w:rFonts w:ascii="Times New Roman" w:hAnsi="Times New Roman"/>
          <w:sz w:val="22"/>
          <w:szCs w:val="22"/>
        </w:rPr>
        <w:t>The primary purpose of using DFT-s-OFDM in uplink communication is to achieve a low Peak-to-Average Power Ratio (PAPR)</w:t>
      </w:r>
      <w:r w:rsidR="00656D2C" w:rsidRPr="001C389F">
        <w:rPr>
          <w:rFonts w:ascii="Times New Roman" w:hAnsi="Times New Roman"/>
          <w:sz w:val="22"/>
          <w:szCs w:val="22"/>
        </w:rPr>
        <w:t>,</w:t>
      </w:r>
      <w:r w:rsidRPr="001C389F">
        <w:rPr>
          <w:rFonts w:ascii="Times New Roman" w:hAnsi="Times New Roman"/>
          <w:sz w:val="22"/>
          <w:szCs w:val="22"/>
        </w:rPr>
        <w:t xml:space="preserve"> </w:t>
      </w:r>
      <w:r w:rsidR="00656D2C" w:rsidRPr="001C389F">
        <w:rPr>
          <w:rFonts w:ascii="Times New Roman" w:hAnsi="Times New Roman"/>
          <w:sz w:val="22"/>
          <w:szCs w:val="22"/>
        </w:rPr>
        <w:t>which is</w:t>
      </w:r>
      <w:r w:rsidRPr="001C389F">
        <w:rPr>
          <w:rFonts w:ascii="Times New Roman" w:hAnsi="Times New Roman"/>
          <w:sz w:val="22"/>
          <w:szCs w:val="22"/>
        </w:rPr>
        <w:t xml:space="preserve"> a crucial requirement for power-constrained devices such as mobile phones (User Equipment, or UE).</w:t>
      </w:r>
    </w:p>
    <w:p w14:paraId="715585BD" w14:textId="77777777" w:rsidR="00C96306" w:rsidRPr="001C389F" w:rsidRDefault="00C96306" w:rsidP="001C389F">
      <w:pPr>
        <w:pStyle w:val="RAN4H1"/>
        <w:numPr>
          <w:ilvl w:val="0"/>
          <w:numId w:val="0"/>
        </w:numPr>
        <w:rPr>
          <w:rFonts w:ascii="Times New Roman" w:hAnsi="Times New Roman"/>
          <w:sz w:val="22"/>
          <w:szCs w:val="22"/>
        </w:rPr>
      </w:pPr>
      <w:r w:rsidRPr="001C389F">
        <w:rPr>
          <w:rFonts w:ascii="Times New Roman" w:hAnsi="Times New Roman"/>
          <w:sz w:val="22"/>
          <w:szCs w:val="22"/>
        </w:rPr>
        <w:t>A lower PAPR enables the UE’s power amplifier to operate more efficiently without introducing distortion. This translates to longer battery life and, more importantly, better uplink coverage, as the device can transmit a stronger and cleaner signal even from the edge of the cell.</w:t>
      </w:r>
    </w:p>
    <w:p w14:paraId="73271D1B" w14:textId="1F12F9BF" w:rsidR="009C4AA2" w:rsidRPr="001C389F" w:rsidRDefault="00C96306" w:rsidP="001C389F">
      <w:pPr>
        <w:pStyle w:val="RAN4H1"/>
        <w:numPr>
          <w:ilvl w:val="0"/>
          <w:numId w:val="0"/>
        </w:numPr>
        <w:rPr>
          <w:rFonts w:ascii="Times New Roman" w:hAnsi="Times New Roman"/>
          <w:sz w:val="22"/>
          <w:szCs w:val="22"/>
        </w:rPr>
      </w:pPr>
      <w:r w:rsidRPr="001C389F">
        <w:rPr>
          <w:rFonts w:ascii="Times New Roman" w:hAnsi="Times New Roman"/>
          <w:sz w:val="22"/>
          <w:szCs w:val="22"/>
        </w:rPr>
        <w:t>This benefit comes from adding a DFT spreading step before the main IFFT in DFT-s-OFDM. This step helps the signal maintain a more uniform power profile, reducing sudden peaks in amplitude and thus achieving a much lower PAPR than conventional OFDM.</w:t>
      </w:r>
    </w:p>
    <w:p w14:paraId="478ED160" w14:textId="30CD5D3B" w:rsidR="00157213" w:rsidRPr="00157213" w:rsidRDefault="003B659E" w:rsidP="00157213">
      <w:pPr>
        <w:pStyle w:val="RAN4H1"/>
        <w:rPr>
          <w:b/>
          <w:bCs/>
          <w:sz w:val="32"/>
          <w:szCs w:val="32"/>
          <w:lang w:val="en-US"/>
        </w:rPr>
      </w:pPr>
      <w:bookmarkStart w:id="10" w:name="_Toc116995842"/>
      <w:r w:rsidRPr="003C6D8B">
        <w:rPr>
          <w:b/>
          <w:bCs/>
          <w:sz w:val="32"/>
          <w:szCs w:val="32"/>
          <w:lang w:val="en-US"/>
        </w:rPr>
        <w:t>Discussion</w:t>
      </w:r>
      <w:bookmarkEnd w:id="10"/>
    </w:p>
    <w:p w14:paraId="4E93FBA6" w14:textId="3E56435D" w:rsidR="00157213" w:rsidRDefault="009F640C" w:rsidP="00157213">
      <w:pPr>
        <w:pStyle w:val="RAN4H2"/>
        <w:numPr>
          <w:ilvl w:val="0"/>
          <w:numId w:val="0"/>
        </w:numPr>
        <w:rPr>
          <w:rFonts w:ascii="Times New Roman" w:hAnsi="Times New Roman"/>
          <w:sz w:val="22"/>
          <w:lang w:val="en-US"/>
        </w:rPr>
      </w:pPr>
      <w:r w:rsidRPr="009F640C">
        <w:rPr>
          <w:rFonts w:ascii="Times New Roman" w:hAnsi="Times New Roman"/>
          <w:sz w:val="22"/>
          <w:lang w:val="en-US"/>
        </w:rPr>
        <w:t>The following agreements were made during the last meeting (RAN1#122</w:t>
      </w:r>
      <w:r>
        <w:rPr>
          <w:rFonts w:ascii="Times New Roman" w:hAnsi="Times New Roman"/>
          <w:sz w:val="22"/>
          <w:lang w:val="en-US"/>
        </w:rPr>
        <w:t>b</w:t>
      </w:r>
      <w:r w:rsidRPr="009F640C">
        <w:rPr>
          <w:rFonts w:ascii="Times New Roman" w:hAnsi="Times New Roman"/>
          <w:sz w:val="22"/>
          <w:lang w:val="en-US"/>
        </w:rPr>
        <w:t>).</w:t>
      </w:r>
    </w:p>
    <w:p w14:paraId="7B11AD83" w14:textId="77777777" w:rsidR="00157213" w:rsidRPr="00157213" w:rsidRDefault="00157213" w:rsidP="00157213">
      <w:pPr>
        <w:rPr>
          <w:lang w:val="en-US"/>
        </w:rPr>
      </w:pPr>
    </w:p>
    <w:tbl>
      <w:tblPr>
        <w:tblStyle w:val="TableGrid"/>
        <w:tblW w:w="0" w:type="auto"/>
        <w:tblLook w:val="04A0" w:firstRow="1" w:lastRow="0" w:firstColumn="1" w:lastColumn="0" w:noHBand="0" w:noVBand="1"/>
      </w:tblPr>
      <w:tblGrid>
        <w:gridCol w:w="9490"/>
      </w:tblGrid>
      <w:tr w:rsidR="00E215AE" w:rsidRPr="00034865" w14:paraId="42E08ED1" w14:textId="77777777" w:rsidTr="0081568D">
        <w:trPr>
          <w:trHeight w:val="1242"/>
        </w:trPr>
        <w:tc>
          <w:tcPr>
            <w:tcW w:w="9490" w:type="dxa"/>
          </w:tcPr>
          <w:p w14:paraId="4F968517" w14:textId="133E8D81" w:rsidR="000B0057" w:rsidRDefault="000B0057" w:rsidP="00745CCE">
            <w:pPr>
              <w:rPr>
                <w:sz w:val="22"/>
              </w:rPr>
            </w:pPr>
            <w:bookmarkStart w:id="11" w:name="_Hlk197510050"/>
            <w:r>
              <w:rPr>
                <w:sz w:val="22"/>
              </w:rPr>
              <w:t xml:space="preserve">Agreements </w:t>
            </w:r>
            <w:r w:rsidR="00C616E0">
              <w:rPr>
                <w:sz w:val="22"/>
              </w:rPr>
              <w:t>from RAN1#122b meeting</w:t>
            </w:r>
            <w:r w:rsidR="00157213">
              <w:rPr>
                <w:sz w:val="22"/>
              </w:rPr>
              <w:t xml:space="preserve"> [3]:</w:t>
            </w:r>
          </w:p>
          <w:p w14:paraId="32CC67AB" w14:textId="77777777" w:rsidR="00C156FF" w:rsidRDefault="00C156FF" w:rsidP="00745CCE">
            <w:pPr>
              <w:rPr>
                <w:sz w:val="22"/>
              </w:rPr>
            </w:pPr>
          </w:p>
          <w:p w14:paraId="3F4A2E8B" w14:textId="56E80CBB" w:rsidR="00745CCE" w:rsidRDefault="00745CCE" w:rsidP="00745CCE">
            <w:pPr>
              <w:rPr>
                <w:rFonts w:eastAsia="DengXian"/>
                <w:sz w:val="22"/>
                <w:lang w:eastAsia="zh-CN"/>
              </w:rPr>
            </w:pPr>
            <w:r w:rsidRPr="007C2478">
              <w:rPr>
                <w:rFonts w:hint="eastAsia"/>
                <w:sz w:val="22"/>
              </w:rPr>
              <w:t>In</w:t>
            </w:r>
            <w:r w:rsidRPr="007C2478">
              <w:rPr>
                <w:rFonts w:eastAsia="DengXian" w:hint="eastAsia"/>
                <w:sz w:val="22"/>
                <w:lang w:eastAsia="zh-CN"/>
              </w:rPr>
              <w:t>cl</w:t>
            </w:r>
            <w:r w:rsidRPr="007C2478">
              <w:rPr>
                <w:rFonts w:hint="eastAsia"/>
                <w:sz w:val="22"/>
              </w:rPr>
              <w:t>uding proposals for improving spectrum efficiency, power efficiency</w:t>
            </w:r>
            <w:r w:rsidRPr="007C2478">
              <w:rPr>
                <w:rFonts w:eastAsia="DengXian" w:hint="eastAsia"/>
                <w:sz w:val="22"/>
                <w:lang w:eastAsia="zh-CN"/>
              </w:rPr>
              <w:t>, coexistence</w:t>
            </w:r>
            <w:r w:rsidRPr="007C2478">
              <w:rPr>
                <w:rFonts w:hint="eastAsia"/>
                <w:sz w:val="22"/>
              </w:rPr>
              <w:t xml:space="preserve"> </w:t>
            </w:r>
            <w:r w:rsidRPr="007C2478">
              <w:rPr>
                <w:rFonts w:eastAsia="DengXian" w:hint="eastAsia"/>
                <w:sz w:val="22"/>
                <w:lang w:eastAsia="zh-CN"/>
              </w:rPr>
              <w:t xml:space="preserve">and </w:t>
            </w:r>
            <w:r w:rsidRPr="007C2478">
              <w:rPr>
                <w:rFonts w:hint="eastAsia"/>
                <w:sz w:val="22"/>
              </w:rPr>
              <w:t>coverage</w:t>
            </w:r>
            <w:r w:rsidRPr="007C2478">
              <w:rPr>
                <w:rFonts w:eastAsia="DengXian" w:hint="eastAsia"/>
                <w:sz w:val="22"/>
                <w:lang w:eastAsia="zh-CN"/>
              </w:rPr>
              <w:t>, etc.</w:t>
            </w:r>
          </w:p>
          <w:p w14:paraId="0E278A34" w14:textId="77777777" w:rsidR="00C156FF" w:rsidRPr="00C156FF" w:rsidRDefault="00C156FF" w:rsidP="00745CCE">
            <w:pPr>
              <w:rPr>
                <w:rFonts w:eastAsia="DengXian"/>
                <w:sz w:val="22"/>
                <w:lang w:eastAsia="zh-CN"/>
              </w:rPr>
            </w:pPr>
          </w:p>
          <w:p w14:paraId="1BE85F3E" w14:textId="77777777" w:rsidR="00745CCE" w:rsidRPr="00F12DE5" w:rsidRDefault="00745CCE" w:rsidP="00745CCE">
            <w:pPr>
              <w:rPr>
                <w:rFonts w:eastAsiaTheme="minorEastAsia"/>
                <w:sz w:val="22"/>
                <w:highlight w:val="green"/>
                <w:lang w:eastAsia="zh-CN"/>
              </w:rPr>
            </w:pPr>
            <w:r w:rsidRPr="00F12DE5">
              <w:rPr>
                <w:rFonts w:eastAsiaTheme="minorEastAsia" w:hint="eastAsia"/>
                <w:sz w:val="22"/>
                <w:highlight w:val="green"/>
                <w:lang w:eastAsia="zh-CN"/>
              </w:rPr>
              <w:t>Agreement</w:t>
            </w:r>
          </w:p>
          <w:p w14:paraId="3C9A91B5" w14:textId="77777777" w:rsidR="00745CCE" w:rsidRPr="00F12DE5" w:rsidRDefault="00745CCE" w:rsidP="00745CCE">
            <w:pPr>
              <w:autoSpaceDE w:val="0"/>
              <w:autoSpaceDN w:val="0"/>
              <w:adjustRightInd w:val="0"/>
              <w:snapToGrid w:val="0"/>
              <w:spacing w:after="120" w:line="259" w:lineRule="auto"/>
              <w:jc w:val="both"/>
              <w:rPr>
                <w:rFonts w:eastAsiaTheme="minorEastAsia"/>
                <w:sz w:val="22"/>
                <w:lang w:val="en-US" w:eastAsia="zh-CN"/>
              </w:rPr>
            </w:pPr>
            <w:r w:rsidRPr="00F12DE5">
              <w:rPr>
                <w:rFonts w:eastAsiaTheme="minorEastAsia" w:hint="eastAsia"/>
                <w:sz w:val="22"/>
                <w:lang w:val="en-US" w:eastAsia="zh-CN"/>
              </w:rPr>
              <w:t xml:space="preserve">Draft LS R1-2508068 is endorsed with </w:t>
            </w:r>
            <w:r w:rsidRPr="00F12DE5">
              <w:rPr>
                <w:rFonts w:eastAsiaTheme="minorEastAsia"/>
                <w:sz w:val="22"/>
                <w:lang w:val="en-US" w:eastAsia="zh-CN"/>
              </w:rPr>
              <w:t>following</w:t>
            </w:r>
            <w:r w:rsidRPr="00F12DE5">
              <w:rPr>
                <w:rFonts w:eastAsiaTheme="minorEastAsia" w:hint="eastAsia"/>
                <w:sz w:val="22"/>
                <w:lang w:val="en-US" w:eastAsia="zh-CN"/>
              </w:rPr>
              <w:t xml:space="preserve"> revision:</w:t>
            </w:r>
          </w:p>
          <w:p w14:paraId="10D4B1D6" w14:textId="77777777" w:rsidR="00745CCE" w:rsidRPr="00F12DE5" w:rsidRDefault="00745CCE" w:rsidP="0081568D">
            <w:pPr>
              <w:pStyle w:val="ListParagraph"/>
              <w:numPr>
                <w:ilvl w:val="0"/>
                <w:numId w:val="9"/>
              </w:numPr>
              <w:autoSpaceDE w:val="0"/>
              <w:autoSpaceDN w:val="0"/>
              <w:adjustRightInd w:val="0"/>
              <w:snapToGrid w:val="0"/>
              <w:spacing w:after="120" w:line="259" w:lineRule="auto"/>
              <w:contextualSpacing w:val="0"/>
              <w:jc w:val="both"/>
              <w:rPr>
                <w:rFonts w:eastAsiaTheme="minorEastAsia"/>
                <w:sz w:val="22"/>
                <w:lang w:val="en-US" w:eastAsia="zh-CN"/>
              </w:rPr>
            </w:pPr>
            <w:r w:rsidRPr="00F12DE5">
              <w:rPr>
                <w:rFonts w:eastAsiaTheme="minorEastAsia" w:hint="eastAsia"/>
                <w:sz w:val="22"/>
                <w:lang w:val="en-US" w:eastAsia="zh-CN"/>
              </w:rPr>
              <w:t xml:space="preserve">removing </w:t>
            </w:r>
            <w:r w:rsidRPr="00F12DE5">
              <w:rPr>
                <w:rFonts w:eastAsia="Times New Roman"/>
                <w:sz w:val="22"/>
              </w:rPr>
              <w:t>“Additionally, if time permits, any feedback for CP-OFDM PAPR reduction/MPR values achievable by implementation is also appreciated.</w:t>
            </w:r>
            <w:r w:rsidRPr="00F12DE5">
              <w:rPr>
                <w:rFonts w:eastAsiaTheme="minorEastAsia"/>
                <w:sz w:val="22"/>
                <w:lang w:eastAsia="zh-CN"/>
              </w:rPr>
              <w:t>”</w:t>
            </w:r>
          </w:p>
          <w:p w14:paraId="4AB7137E" w14:textId="77777777" w:rsidR="00745CCE" w:rsidRPr="00F12DE5" w:rsidRDefault="00745CCE" w:rsidP="00745CCE">
            <w:pPr>
              <w:rPr>
                <w:rFonts w:eastAsiaTheme="minorEastAsia"/>
                <w:sz w:val="22"/>
                <w:highlight w:val="green"/>
                <w:lang w:eastAsia="zh-CN"/>
              </w:rPr>
            </w:pPr>
            <w:r w:rsidRPr="00F12DE5">
              <w:rPr>
                <w:rFonts w:eastAsiaTheme="minorEastAsia" w:hint="eastAsia"/>
                <w:sz w:val="22"/>
                <w:highlight w:val="green"/>
                <w:lang w:eastAsia="zh-CN"/>
              </w:rPr>
              <w:t>Agreement</w:t>
            </w:r>
          </w:p>
          <w:p w14:paraId="6C739DD1" w14:textId="77777777" w:rsidR="00745CCE" w:rsidRPr="00F12DE5" w:rsidRDefault="00745CCE" w:rsidP="00745CCE">
            <w:pPr>
              <w:autoSpaceDE w:val="0"/>
              <w:autoSpaceDN w:val="0"/>
              <w:adjustRightInd w:val="0"/>
              <w:snapToGrid w:val="0"/>
              <w:spacing w:after="120" w:line="259" w:lineRule="auto"/>
              <w:jc w:val="both"/>
              <w:rPr>
                <w:rFonts w:eastAsiaTheme="minorEastAsia"/>
                <w:sz w:val="22"/>
                <w:lang w:val="en-US" w:eastAsia="zh-CN"/>
              </w:rPr>
            </w:pPr>
            <w:r w:rsidRPr="00F12DE5">
              <w:rPr>
                <w:rFonts w:eastAsiaTheme="minorEastAsia" w:hint="eastAsia"/>
                <w:sz w:val="22"/>
                <w:lang w:val="en-US" w:eastAsia="zh-CN"/>
              </w:rPr>
              <w:t>Final LS R1-2508069 is endorsed.</w:t>
            </w:r>
          </w:p>
          <w:p w14:paraId="2A7A3AFC" w14:textId="77777777" w:rsidR="00745CCE" w:rsidRPr="00F12DE5" w:rsidRDefault="00745CCE" w:rsidP="00745CCE">
            <w:pPr>
              <w:autoSpaceDE w:val="0"/>
              <w:autoSpaceDN w:val="0"/>
              <w:adjustRightInd w:val="0"/>
              <w:snapToGrid w:val="0"/>
              <w:spacing w:after="120" w:line="259" w:lineRule="auto"/>
              <w:jc w:val="both"/>
              <w:rPr>
                <w:rFonts w:eastAsiaTheme="minorEastAsia"/>
                <w:sz w:val="22"/>
                <w:highlight w:val="green"/>
                <w:lang w:val="en-US" w:eastAsia="zh-CN"/>
              </w:rPr>
            </w:pPr>
            <w:r w:rsidRPr="00F12DE5">
              <w:rPr>
                <w:rFonts w:eastAsiaTheme="minorEastAsia" w:hint="eastAsia"/>
                <w:sz w:val="22"/>
                <w:highlight w:val="green"/>
                <w:lang w:val="en-US" w:eastAsia="zh-CN"/>
              </w:rPr>
              <w:t>Agreement</w:t>
            </w:r>
          </w:p>
          <w:p w14:paraId="2E35AA4B" w14:textId="77777777" w:rsidR="00745CCE" w:rsidRPr="00F12DE5" w:rsidRDefault="00745CCE" w:rsidP="0081568D">
            <w:pPr>
              <w:pStyle w:val="ListParagraph"/>
              <w:numPr>
                <w:ilvl w:val="0"/>
                <w:numId w:val="7"/>
              </w:numPr>
              <w:spacing w:after="180"/>
              <w:rPr>
                <w:b/>
                <w:bCs/>
                <w:sz w:val="22"/>
              </w:rPr>
            </w:pPr>
            <w:r w:rsidRPr="00F12DE5">
              <w:rPr>
                <w:sz w:val="22"/>
              </w:rPr>
              <w:t>For uplink low-PAPR proposals</w:t>
            </w:r>
            <w:r w:rsidRPr="00F12DE5">
              <w:rPr>
                <w:rFonts w:eastAsiaTheme="minorEastAsia" w:hint="eastAsia"/>
                <w:sz w:val="22"/>
                <w:lang w:eastAsia="zh-CN"/>
              </w:rPr>
              <w:t>,</w:t>
            </w:r>
            <w:r w:rsidRPr="00F12DE5">
              <w:rPr>
                <w:sz w:val="22"/>
              </w:rPr>
              <w:t xml:space="preserve"> the </w:t>
            </w:r>
            <w:r w:rsidRPr="00F12DE5">
              <w:rPr>
                <w:rFonts w:eastAsiaTheme="minorEastAsia" w:hint="eastAsia"/>
                <w:sz w:val="22"/>
                <w:lang w:eastAsia="zh-CN"/>
              </w:rPr>
              <w:t xml:space="preserve">link level </w:t>
            </w:r>
            <w:r w:rsidRPr="00F12DE5">
              <w:rPr>
                <w:sz w:val="22"/>
              </w:rPr>
              <w:t>performance evaluation criterion is Net Gain</w:t>
            </w:r>
            <w:r w:rsidRPr="00F12DE5">
              <w:rPr>
                <w:rFonts w:eastAsiaTheme="minorEastAsia" w:hint="eastAsia"/>
                <w:sz w:val="22"/>
                <w:lang w:eastAsia="zh-CN"/>
              </w:rPr>
              <w:t xml:space="preserve"> assuming same </w:t>
            </w:r>
            <w:r w:rsidRPr="00F12DE5">
              <w:rPr>
                <w:rFonts w:eastAsiaTheme="minorEastAsia"/>
                <w:sz w:val="22"/>
                <w:lang w:eastAsia="zh-CN"/>
              </w:rPr>
              <w:t>spectrum</w:t>
            </w:r>
            <w:r w:rsidRPr="00F12DE5">
              <w:rPr>
                <w:rFonts w:eastAsiaTheme="minorEastAsia" w:hint="eastAsia"/>
                <w:sz w:val="22"/>
                <w:lang w:eastAsia="zh-CN"/>
              </w:rPr>
              <w:t xml:space="preserve"> efficiency as the reference </w:t>
            </w:r>
          </w:p>
          <w:p w14:paraId="5BD2C36E" w14:textId="77777777" w:rsidR="00745CCE" w:rsidRPr="00F12DE5" w:rsidRDefault="00745CCE" w:rsidP="0081568D">
            <w:pPr>
              <w:pStyle w:val="ListParagraph"/>
              <w:numPr>
                <w:ilvl w:val="1"/>
                <w:numId w:val="7"/>
              </w:numPr>
              <w:spacing w:after="180"/>
              <w:rPr>
                <w:b/>
                <w:bCs/>
                <w:sz w:val="22"/>
              </w:rPr>
            </w:pPr>
            <w:r w:rsidRPr="00F12DE5">
              <w:rPr>
                <w:sz w:val="22"/>
              </w:rPr>
              <w:t>Net Gain [dB] = Tx power gain</w:t>
            </w:r>
            <w:r w:rsidRPr="00F12DE5">
              <w:rPr>
                <w:rFonts w:eastAsiaTheme="minorEastAsia" w:hint="eastAsia"/>
                <w:sz w:val="22"/>
                <w:lang w:eastAsia="zh-CN"/>
              </w:rPr>
              <w:t xml:space="preserve"> relative to the reference</w:t>
            </w:r>
            <w:r w:rsidRPr="00F12DE5">
              <w:rPr>
                <w:sz w:val="22"/>
              </w:rPr>
              <w:t xml:space="preserve"> – </w:t>
            </w:r>
            <w:r w:rsidRPr="00F12DE5">
              <w:rPr>
                <w:rFonts w:eastAsiaTheme="minorEastAsia" w:hint="eastAsia"/>
                <w:sz w:val="22"/>
                <w:lang w:eastAsia="zh-CN"/>
              </w:rPr>
              <w:t xml:space="preserve">SNR </w:t>
            </w:r>
            <w:r w:rsidRPr="00F12DE5">
              <w:rPr>
                <w:rFonts w:eastAsiaTheme="minorEastAsia"/>
                <w:sz w:val="22"/>
                <w:lang w:eastAsia="zh-CN"/>
              </w:rPr>
              <w:t>degradation</w:t>
            </w:r>
            <w:r w:rsidRPr="00F12DE5">
              <w:rPr>
                <w:sz w:val="22"/>
              </w:rPr>
              <w:t xml:space="preserve"> relative to the reference @10% BLER</w:t>
            </w:r>
          </w:p>
          <w:p w14:paraId="3FA0380A" w14:textId="77777777" w:rsidR="00745CCE" w:rsidRPr="00F12DE5" w:rsidRDefault="00745CCE" w:rsidP="0081568D">
            <w:pPr>
              <w:pStyle w:val="ListParagraph"/>
              <w:numPr>
                <w:ilvl w:val="2"/>
                <w:numId w:val="7"/>
              </w:numPr>
              <w:spacing w:after="180"/>
              <w:rPr>
                <w:b/>
                <w:bCs/>
                <w:sz w:val="22"/>
              </w:rPr>
            </w:pPr>
            <w:r w:rsidRPr="00F12DE5">
              <w:rPr>
                <w:sz w:val="22"/>
              </w:rPr>
              <w:t>A realistic PA model should be used</w:t>
            </w:r>
          </w:p>
          <w:p w14:paraId="0092B2C0" w14:textId="77777777" w:rsidR="00745CCE" w:rsidRPr="00F12DE5" w:rsidRDefault="00745CCE" w:rsidP="0081568D">
            <w:pPr>
              <w:pStyle w:val="ListParagraph"/>
              <w:numPr>
                <w:ilvl w:val="2"/>
                <w:numId w:val="7"/>
              </w:numPr>
              <w:spacing w:after="180"/>
              <w:rPr>
                <w:b/>
                <w:bCs/>
                <w:sz w:val="22"/>
              </w:rPr>
            </w:pPr>
            <w:r w:rsidRPr="00F12DE5">
              <w:rPr>
                <w:sz w:val="22"/>
              </w:rPr>
              <w:t xml:space="preserve">When calculating the Tx power gain, the RAN4 metrics on the Tx power should be taken into account. </w:t>
            </w:r>
          </w:p>
          <w:p w14:paraId="16E01E6F" w14:textId="77777777" w:rsidR="00745CCE" w:rsidRPr="00F12DE5" w:rsidRDefault="00745CCE" w:rsidP="0081568D">
            <w:pPr>
              <w:pStyle w:val="ListParagraph"/>
              <w:numPr>
                <w:ilvl w:val="2"/>
                <w:numId w:val="7"/>
              </w:numPr>
              <w:spacing w:after="180"/>
              <w:rPr>
                <w:b/>
                <w:bCs/>
                <w:sz w:val="22"/>
              </w:rPr>
            </w:pPr>
            <w:r w:rsidRPr="00F12DE5">
              <w:rPr>
                <w:sz w:val="22"/>
              </w:rPr>
              <w:t>For SNR degradation, fading channel and non-ideal channel estimation, including DMRS configuration, and equalization is encouraged.</w:t>
            </w:r>
          </w:p>
          <w:p w14:paraId="2EFC4206" w14:textId="77777777" w:rsidR="00745CCE" w:rsidRPr="00F12DE5" w:rsidRDefault="00745CCE" w:rsidP="0081568D">
            <w:pPr>
              <w:pStyle w:val="ListParagraph"/>
              <w:numPr>
                <w:ilvl w:val="2"/>
                <w:numId w:val="7"/>
              </w:numPr>
              <w:spacing w:after="180"/>
              <w:rPr>
                <w:b/>
                <w:bCs/>
                <w:sz w:val="22"/>
              </w:rPr>
            </w:pPr>
            <w:r w:rsidRPr="00F12DE5">
              <w:rPr>
                <w:rFonts w:eastAsiaTheme="minorEastAsia" w:hint="eastAsia"/>
                <w:sz w:val="22"/>
                <w:lang w:eastAsia="zh-CN"/>
              </w:rPr>
              <w:t xml:space="preserve">FFS: </w:t>
            </w:r>
            <w:r w:rsidRPr="00F12DE5">
              <w:rPr>
                <w:rFonts w:eastAsiaTheme="minorEastAsia"/>
                <w:sz w:val="22"/>
                <w:lang w:eastAsia="zh-CN"/>
              </w:rPr>
              <w:t>Other</w:t>
            </w:r>
            <w:r w:rsidRPr="00F12DE5">
              <w:rPr>
                <w:rFonts w:eastAsiaTheme="minorEastAsia" w:hint="eastAsia"/>
                <w:sz w:val="22"/>
                <w:lang w:eastAsia="zh-CN"/>
              </w:rPr>
              <w:t xml:space="preserve"> e</w:t>
            </w:r>
            <w:r w:rsidRPr="00F12DE5">
              <w:rPr>
                <w:sz w:val="22"/>
              </w:rPr>
              <w:t>valuation metrics</w:t>
            </w:r>
          </w:p>
          <w:p w14:paraId="1E7D99EA" w14:textId="77777777" w:rsidR="00745CCE" w:rsidRPr="00F12DE5" w:rsidRDefault="00745CCE" w:rsidP="0081568D">
            <w:pPr>
              <w:pStyle w:val="ListParagraph"/>
              <w:numPr>
                <w:ilvl w:val="2"/>
                <w:numId w:val="7"/>
              </w:numPr>
              <w:spacing w:after="180"/>
              <w:rPr>
                <w:b/>
                <w:bCs/>
                <w:sz w:val="22"/>
              </w:rPr>
            </w:pPr>
            <w:r w:rsidRPr="00F12DE5">
              <w:rPr>
                <w:rFonts w:eastAsiaTheme="minorEastAsia" w:hint="eastAsia"/>
                <w:sz w:val="22"/>
                <w:lang w:eastAsia="zh-CN"/>
              </w:rPr>
              <w:t>Note: Companies to report how to calculate the Tx power gain,</w:t>
            </w:r>
            <w:r w:rsidRPr="00F12DE5">
              <w:rPr>
                <w:sz w:val="22"/>
              </w:rPr>
              <w:t xml:space="preserve"> modulation and coding</w:t>
            </w:r>
          </w:p>
          <w:p w14:paraId="53866AE7" w14:textId="77777777" w:rsidR="00745CCE" w:rsidRPr="00F12DE5" w:rsidRDefault="00745CCE" w:rsidP="00745CCE">
            <w:pPr>
              <w:autoSpaceDE w:val="0"/>
              <w:autoSpaceDN w:val="0"/>
              <w:adjustRightInd w:val="0"/>
              <w:snapToGrid w:val="0"/>
              <w:spacing w:after="120" w:line="259" w:lineRule="auto"/>
              <w:jc w:val="both"/>
              <w:rPr>
                <w:rFonts w:eastAsiaTheme="minorEastAsia"/>
                <w:sz w:val="22"/>
                <w:highlight w:val="green"/>
                <w:lang w:eastAsia="zh-CN"/>
              </w:rPr>
            </w:pPr>
            <w:r w:rsidRPr="00F12DE5">
              <w:rPr>
                <w:rFonts w:eastAsiaTheme="minorEastAsia" w:hint="eastAsia"/>
                <w:sz w:val="22"/>
                <w:highlight w:val="green"/>
                <w:lang w:eastAsia="zh-CN"/>
              </w:rPr>
              <w:lastRenderedPageBreak/>
              <w:t>Agreement</w:t>
            </w:r>
          </w:p>
          <w:p w14:paraId="66C00DA6" w14:textId="77777777" w:rsidR="00745CCE" w:rsidRPr="00F12DE5" w:rsidRDefault="00745CCE" w:rsidP="0081568D">
            <w:pPr>
              <w:pStyle w:val="ListParagraph"/>
              <w:numPr>
                <w:ilvl w:val="0"/>
                <w:numId w:val="8"/>
              </w:numPr>
              <w:spacing w:after="180"/>
              <w:rPr>
                <w:sz w:val="22"/>
                <w:lang w:val="en-US"/>
              </w:rPr>
            </w:pPr>
            <w:r w:rsidRPr="00F12DE5">
              <w:rPr>
                <w:rFonts w:eastAsiaTheme="minorEastAsia" w:hint="eastAsia"/>
                <w:sz w:val="22"/>
                <w:lang w:val="en-US" w:eastAsia="zh-CN"/>
              </w:rPr>
              <w:t xml:space="preserve">Study the evaluation method for evaluating </w:t>
            </w:r>
            <w:r w:rsidRPr="00F12DE5">
              <w:rPr>
                <w:sz w:val="22"/>
                <w:lang w:val="en-US"/>
              </w:rPr>
              <w:t>DFT-s-OFDM</w:t>
            </w:r>
            <w:r w:rsidRPr="00F12DE5">
              <w:rPr>
                <w:rFonts w:eastAsiaTheme="minorEastAsia" w:hint="eastAsia"/>
                <w:sz w:val="22"/>
                <w:lang w:val="en-US" w:eastAsia="zh-CN"/>
              </w:rPr>
              <w:t xml:space="preserve"> for UL</w:t>
            </w:r>
            <w:r w:rsidRPr="00F12DE5">
              <w:rPr>
                <w:sz w:val="22"/>
                <w:lang w:val="en-US"/>
              </w:rPr>
              <w:t xml:space="preserve"> with </w:t>
            </w:r>
            <w:r w:rsidRPr="00F12DE5">
              <w:rPr>
                <w:rFonts w:eastAsiaTheme="minorEastAsia" w:hint="eastAsia"/>
                <w:sz w:val="22"/>
                <w:lang w:val="en-US" w:eastAsia="zh-CN"/>
              </w:rPr>
              <w:t>number of layers</w:t>
            </w:r>
            <w:r w:rsidRPr="00F12DE5">
              <w:rPr>
                <w:sz w:val="22"/>
                <w:lang w:val="en-US"/>
              </w:rPr>
              <w:t xml:space="preserve"> &gt; 1</w:t>
            </w:r>
            <w:r w:rsidRPr="00F12DE5">
              <w:rPr>
                <w:rFonts w:eastAsiaTheme="minorEastAsia" w:hint="eastAsia"/>
                <w:sz w:val="22"/>
                <w:lang w:val="en-US" w:eastAsia="zh-CN"/>
              </w:rPr>
              <w:t>.</w:t>
            </w:r>
          </w:p>
          <w:p w14:paraId="75CC7A32" w14:textId="77777777" w:rsidR="00A202A1" w:rsidRDefault="00A202A1" w:rsidP="00562FFB">
            <w:pPr>
              <w:overflowPunct w:val="0"/>
              <w:autoSpaceDE w:val="0"/>
              <w:autoSpaceDN w:val="0"/>
              <w:adjustRightInd w:val="0"/>
              <w:spacing w:before="120" w:after="120"/>
              <w:textAlignment w:val="baseline"/>
              <w:rPr>
                <w:rFonts w:eastAsia="Yu Mincho"/>
                <w:sz w:val="22"/>
              </w:rPr>
            </w:pPr>
          </w:p>
          <w:p w14:paraId="0CAC23A8" w14:textId="31ED4067" w:rsidR="00A202A1" w:rsidRPr="00562FFB" w:rsidRDefault="00A202A1" w:rsidP="00562FFB">
            <w:pPr>
              <w:overflowPunct w:val="0"/>
              <w:autoSpaceDE w:val="0"/>
              <w:autoSpaceDN w:val="0"/>
              <w:adjustRightInd w:val="0"/>
              <w:spacing w:before="120" w:after="120"/>
              <w:textAlignment w:val="baseline"/>
              <w:rPr>
                <w:rFonts w:eastAsia="Yu Mincho"/>
                <w:sz w:val="22"/>
              </w:rPr>
            </w:pPr>
          </w:p>
        </w:tc>
      </w:tr>
      <w:bookmarkEnd w:id="11"/>
    </w:tbl>
    <w:p w14:paraId="18B5CFA5" w14:textId="73463242" w:rsidR="00B02E9C" w:rsidRDefault="00B02E9C" w:rsidP="00B02E9C">
      <w:pPr>
        <w:rPr>
          <w:sz w:val="22"/>
        </w:rPr>
      </w:pPr>
    </w:p>
    <w:p w14:paraId="35B562C8" w14:textId="141BD469" w:rsidR="003C6D8B" w:rsidRPr="00C46509" w:rsidRDefault="003C6D8B" w:rsidP="00B02E9C">
      <w:pPr>
        <w:rPr>
          <w:rFonts w:ascii="Arial" w:hAnsi="Arial" w:cs="Arial"/>
          <w:b/>
          <w:bCs/>
          <w:sz w:val="24"/>
          <w:szCs w:val="24"/>
        </w:rPr>
      </w:pPr>
      <w:r w:rsidRPr="00C46509">
        <w:rPr>
          <w:rFonts w:ascii="Arial" w:hAnsi="Arial" w:cs="Arial"/>
          <w:b/>
          <w:bCs/>
          <w:sz w:val="24"/>
          <w:szCs w:val="24"/>
        </w:rPr>
        <w:t>2.1 FDSS</w:t>
      </w:r>
    </w:p>
    <w:p w14:paraId="43F86BDE" w14:textId="0EEC6CB0" w:rsidR="005B3C83" w:rsidRDefault="005B3C83" w:rsidP="005B3C83">
      <w:pPr>
        <w:jc w:val="both"/>
        <w:rPr>
          <w:sz w:val="22"/>
        </w:rPr>
      </w:pPr>
      <w:r w:rsidRPr="004E5DBE">
        <w:rPr>
          <w:sz w:val="22"/>
        </w:rPr>
        <w:t>Frequency Domain Spectrum Shaping (FDSS) is a signal processing technique which helps further reduce the PAPR of DFT-s-OFDM signals. It does this by applying a smoothing function</w:t>
      </w:r>
      <w:r w:rsidR="005A629B">
        <w:rPr>
          <w:sz w:val="22"/>
        </w:rPr>
        <w:t xml:space="preserve">, </w:t>
      </w:r>
      <w:r w:rsidRPr="004E5DBE">
        <w:rPr>
          <w:sz w:val="22"/>
        </w:rPr>
        <w:t>known as a window or shaping filter</w:t>
      </w:r>
      <w:r w:rsidR="005A629B">
        <w:rPr>
          <w:sz w:val="22"/>
        </w:rPr>
        <w:t xml:space="preserve"> </w:t>
      </w:r>
      <w:r w:rsidRPr="004E5DBE">
        <w:rPr>
          <w:sz w:val="22"/>
        </w:rPr>
        <w:t>to the frequency-domain signal, resulting in a cleaner and more balanced spectrum with reduced signal fluctuations. When transformed back to the time domain using the IFFT, this smoothing leads to reduced signal peaks, effectively lowering the PAPR even further.</w:t>
      </w:r>
    </w:p>
    <w:p w14:paraId="2C4F0AAD" w14:textId="77777777" w:rsidR="005B3C83" w:rsidRDefault="005B3C83" w:rsidP="005B3C83">
      <w:pPr>
        <w:jc w:val="both"/>
        <w:rPr>
          <w:sz w:val="22"/>
          <w:lang w:val="en-US"/>
        </w:rPr>
      </w:pPr>
      <w:r w:rsidRPr="00337346">
        <w:rPr>
          <w:sz w:val="22"/>
          <w:lang w:val="en-US"/>
        </w:rPr>
        <w:t>However, standard FDSS has its limitations. It performs well for simple modulation schemes (like BPSK), but its PAPR reduction effectiveness decreases as we move to higher-order modulations such as QPSK or 16-QAM, which are essential for achieving higher data rates in modern networks.</w:t>
      </w:r>
    </w:p>
    <w:p w14:paraId="1214FFE8" w14:textId="55049FA0" w:rsidR="00D92C0D" w:rsidRPr="00AE03EB" w:rsidRDefault="00D92C0D" w:rsidP="00D92C0D">
      <w:pPr>
        <w:jc w:val="both"/>
        <w:rPr>
          <w:sz w:val="22"/>
          <w:lang w:val="en-US"/>
        </w:rPr>
      </w:pPr>
      <w:r w:rsidRPr="00AE03EB">
        <w:rPr>
          <w:sz w:val="22"/>
          <w:lang w:val="en-US"/>
        </w:rPr>
        <w:t>To overcome this challenge, FDSS-SE</w:t>
      </w:r>
      <w:r w:rsidR="005D1875">
        <w:rPr>
          <w:sz w:val="22"/>
          <w:lang w:val="en-US"/>
        </w:rPr>
        <w:t xml:space="preserve"> [</w:t>
      </w:r>
      <w:r w:rsidR="00B92647">
        <w:rPr>
          <w:sz w:val="22"/>
          <w:lang w:val="en-US"/>
        </w:rPr>
        <w:t>1</w:t>
      </w:r>
      <w:r w:rsidR="005D1875">
        <w:rPr>
          <w:sz w:val="22"/>
          <w:lang w:val="en-US"/>
        </w:rPr>
        <w:t>]</w:t>
      </w:r>
      <w:r w:rsidRPr="00AE03EB">
        <w:rPr>
          <w:sz w:val="22"/>
          <w:lang w:val="en-US"/>
        </w:rPr>
        <w:t xml:space="preserve"> extends FDSS by spreading the signal slightly into adjacent guard bands, allowing smoother shaping across the spectrum and better control over signal peaks. This spectral extension provides the shaping filter with additional bandwidth to operate, allowing for smoother frequency-domain transitions. As a result, the transmitted waveform becomes more even and stable in the time domain, substantially reducing PAPR, even for modulation schemes like 16-QAM or 64-QAM.</w:t>
      </w:r>
    </w:p>
    <w:p w14:paraId="2710CA0E" w14:textId="77777777" w:rsidR="00D67F3C" w:rsidRDefault="00D92C0D" w:rsidP="00D67F3C">
      <w:pPr>
        <w:jc w:val="both"/>
        <w:rPr>
          <w:sz w:val="22"/>
        </w:rPr>
      </w:pPr>
      <w:r w:rsidRPr="00592F0B">
        <w:rPr>
          <w:sz w:val="22"/>
        </w:rPr>
        <w:t>The integration of FDSS-SE with DFT-s-OFDM allows user equipment to achieve higher power amplifier efficiency while ensuring signal integrity. This improvement translates into enhanced uplink coverage and increased data throughput, particularly in power-constrained scenarios such as at the cell edge. Despite a small cost in spectral efficiency and complexity, FDSS-SE delivers significant real-world benefits and marks an important step toward advanced 6G uplink designs</w:t>
      </w:r>
      <w:r>
        <w:rPr>
          <w:sz w:val="22"/>
        </w:rPr>
        <w:t>.</w:t>
      </w:r>
    </w:p>
    <w:p w14:paraId="3A289FAD" w14:textId="500078EC" w:rsidR="00E7139C" w:rsidRPr="00072276" w:rsidRDefault="00E7139C" w:rsidP="00D67F3C">
      <w:pPr>
        <w:jc w:val="both"/>
        <w:rPr>
          <w:b/>
          <w:bCs/>
          <w:sz w:val="22"/>
        </w:rPr>
      </w:pPr>
      <w:r w:rsidRPr="00072276">
        <w:rPr>
          <w:b/>
          <w:bCs/>
          <w:sz w:val="22"/>
        </w:rPr>
        <w:t xml:space="preserve">Observation 1: </w:t>
      </w:r>
      <w:r w:rsidR="00945E9B" w:rsidRPr="00072276">
        <w:rPr>
          <w:b/>
          <w:bCs/>
          <w:sz w:val="22"/>
        </w:rPr>
        <w:t xml:space="preserve">When FDSS-SE </w:t>
      </w:r>
      <w:r w:rsidR="00F61B9C" w:rsidRPr="00072276">
        <w:rPr>
          <w:b/>
          <w:bCs/>
          <w:sz w:val="22"/>
        </w:rPr>
        <w:t>is applied to DFT-s-OFDM, it effectively lowers the PAPR, allowing user devices to transmit more efficiently and maintain</w:t>
      </w:r>
      <w:r w:rsidR="00C11AE8" w:rsidRPr="00072276">
        <w:rPr>
          <w:b/>
          <w:bCs/>
          <w:sz w:val="22"/>
        </w:rPr>
        <w:t xml:space="preserve"> stronger uplink connections over wider coverage areas.</w:t>
      </w:r>
    </w:p>
    <w:p w14:paraId="28249579" w14:textId="2082C87D" w:rsidR="00EF66BB" w:rsidRDefault="00EF66BB" w:rsidP="00D67F3C">
      <w:pPr>
        <w:jc w:val="both"/>
        <w:rPr>
          <w:b/>
          <w:bCs/>
          <w:sz w:val="22"/>
        </w:rPr>
      </w:pPr>
      <w:r w:rsidRPr="00072276">
        <w:rPr>
          <w:b/>
          <w:bCs/>
          <w:sz w:val="22"/>
        </w:rPr>
        <w:t>Proposal 1:</w:t>
      </w:r>
      <w:r w:rsidR="0081568D">
        <w:rPr>
          <w:b/>
          <w:bCs/>
          <w:sz w:val="22"/>
        </w:rPr>
        <w:t xml:space="preserve"> </w:t>
      </w:r>
      <w:r w:rsidR="009F3F86">
        <w:rPr>
          <w:b/>
          <w:bCs/>
          <w:sz w:val="22"/>
        </w:rPr>
        <w:t xml:space="preserve">Support the integration of </w:t>
      </w:r>
      <w:r w:rsidR="001E446F">
        <w:rPr>
          <w:b/>
          <w:bCs/>
          <w:sz w:val="22"/>
        </w:rPr>
        <w:t>FDSS-SE with DFT-s-OFDM, as this combination provides a</w:t>
      </w:r>
      <w:r w:rsidR="00FF4FC3">
        <w:rPr>
          <w:b/>
          <w:bCs/>
          <w:sz w:val="22"/>
        </w:rPr>
        <w:t xml:space="preserve">n efficient </w:t>
      </w:r>
      <w:r w:rsidR="00F53555">
        <w:rPr>
          <w:b/>
          <w:bCs/>
          <w:sz w:val="22"/>
        </w:rPr>
        <w:t xml:space="preserve">uplink waveform for 6GR that improves </w:t>
      </w:r>
      <w:r w:rsidR="00CF7A8F">
        <w:rPr>
          <w:b/>
          <w:bCs/>
          <w:sz w:val="22"/>
        </w:rPr>
        <w:t>power efficiency and extends coverage for power-constrained user devices.</w:t>
      </w:r>
    </w:p>
    <w:p w14:paraId="32D8F000" w14:textId="77777777" w:rsidR="00072276" w:rsidRPr="00072276" w:rsidRDefault="00072276" w:rsidP="00D67F3C">
      <w:pPr>
        <w:jc w:val="both"/>
        <w:rPr>
          <w:b/>
          <w:bCs/>
          <w:sz w:val="22"/>
        </w:rPr>
      </w:pPr>
    </w:p>
    <w:p w14:paraId="548659D4" w14:textId="170B1837" w:rsidR="00E358DE" w:rsidRDefault="00D67F3C" w:rsidP="00D67F3C">
      <w:pPr>
        <w:jc w:val="both"/>
        <w:rPr>
          <w:rFonts w:ascii="Arial" w:hAnsi="Arial" w:cs="Arial"/>
          <w:b/>
          <w:bCs/>
          <w:sz w:val="24"/>
          <w:szCs w:val="24"/>
        </w:rPr>
      </w:pPr>
      <w:r w:rsidRPr="00D67F3C">
        <w:rPr>
          <w:rFonts w:ascii="Arial" w:hAnsi="Arial" w:cs="Arial"/>
          <w:b/>
          <w:bCs/>
          <w:sz w:val="24"/>
          <w:szCs w:val="24"/>
        </w:rPr>
        <w:t>2.2 Waveform</w:t>
      </w:r>
      <w:r w:rsidR="00033B30">
        <w:rPr>
          <w:rFonts w:ascii="Arial" w:hAnsi="Arial" w:cs="Arial"/>
          <w:b/>
          <w:bCs/>
          <w:sz w:val="24"/>
          <w:szCs w:val="24"/>
        </w:rPr>
        <w:t xml:space="preserve"> </w:t>
      </w:r>
    </w:p>
    <w:p w14:paraId="4CF2EBE4" w14:textId="2632841E" w:rsidR="005F1FD5" w:rsidRPr="005F1FD5" w:rsidRDefault="005F1FD5" w:rsidP="005F1FD5">
      <w:pPr>
        <w:jc w:val="both"/>
        <w:rPr>
          <w:rFonts w:cs="Times New Roman"/>
          <w:sz w:val="22"/>
          <w:lang w:val="en-US"/>
        </w:rPr>
      </w:pPr>
      <w:r w:rsidRPr="005F1FD5">
        <w:rPr>
          <w:rFonts w:cs="Times New Roman"/>
          <w:sz w:val="22"/>
          <w:lang w:val="en-US"/>
        </w:rPr>
        <w:t>DFT-s-OFDM is fundamentally designed to maintain a low Peak-to-Average Power Ratio (PAPR) for power-constrained uplink transmissions. Its low-PAPR behavior stems from the DFT spreading process, which produces a smoother and more stable signal envelope, allowing the user device’s power amplifier to operate more efficiently. This directly improves battery life and uplink coverage, particularly for cell-edge users who operate under strict power limitations. However, when DFT-s-OFDM is extended to multi-layer MIMO transmission, its low-PAPR advantage gradually degrades. The spatial precoding required for multi-layer transmission causes the layers to superimpose at each antenna port, resulting in a composite waveform that becomes progressively more similar to CP-OFDM. As the number of layers increases, this superposition effect leads to rising PAPR levels and diminishing power-efficiency benefit</w:t>
      </w:r>
      <w:r w:rsidR="00B17700">
        <w:rPr>
          <w:rFonts w:cs="Times New Roman"/>
          <w:sz w:val="22"/>
          <w:lang w:val="en-US"/>
        </w:rPr>
        <w:t xml:space="preserve">s, </w:t>
      </w:r>
      <w:r w:rsidRPr="005F1FD5">
        <w:rPr>
          <w:rFonts w:cs="Times New Roman"/>
          <w:sz w:val="22"/>
          <w:lang w:val="en-US"/>
        </w:rPr>
        <w:t xml:space="preserve">effectively negating the primary motivation for using DFT-s-OFDM. </w:t>
      </w:r>
    </w:p>
    <w:p w14:paraId="1E507308" w14:textId="77777777" w:rsidR="005F1FD5" w:rsidRPr="005F1FD5" w:rsidRDefault="005F1FD5" w:rsidP="005F1FD5">
      <w:pPr>
        <w:jc w:val="both"/>
        <w:rPr>
          <w:rFonts w:cs="Times New Roman"/>
          <w:sz w:val="22"/>
          <w:lang w:val="en-US"/>
        </w:rPr>
      </w:pPr>
    </w:p>
    <w:p w14:paraId="0F59AE49" w14:textId="08930B32" w:rsidR="005F1FD5" w:rsidRPr="005F1FD5" w:rsidRDefault="005F1FD5" w:rsidP="005F1FD5">
      <w:pPr>
        <w:jc w:val="both"/>
        <w:rPr>
          <w:rFonts w:cs="Times New Roman"/>
          <w:sz w:val="22"/>
          <w:lang w:val="en-US"/>
        </w:rPr>
      </w:pPr>
      <w:r w:rsidRPr="005F1FD5">
        <w:rPr>
          <w:rFonts w:cs="Times New Roman"/>
          <w:sz w:val="22"/>
          <w:lang w:val="en-US"/>
        </w:rPr>
        <w:lastRenderedPageBreak/>
        <w:t xml:space="preserve">To understand how far multi-layer support can be extended </w:t>
      </w:r>
      <w:r w:rsidR="005B28DA">
        <w:rPr>
          <w:rFonts w:cs="Times New Roman"/>
          <w:sz w:val="22"/>
          <w:lang w:val="en-US"/>
        </w:rPr>
        <w:t>for DFT-s-OFDM</w:t>
      </w:r>
      <w:r w:rsidR="00EE5E91">
        <w:rPr>
          <w:rFonts w:cs="Times New Roman"/>
          <w:sz w:val="22"/>
          <w:lang w:val="en-US"/>
        </w:rPr>
        <w:t xml:space="preserve">, </w:t>
      </w:r>
      <w:r w:rsidRPr="005F1FD5">
        <w:rPr>
          <w:rFonts w:cs="Times New Roman"/>
          <w:sz w:val="22"/>
          <w:lang w:val="en-US"/>
        </w:rPr>
        <w:t xml:space="preserve">without sacrificing its intended behavior, </w:t>
      </w:r>
      <w:r w:rsidR="007A781E">
        <w:rPr>
          <w:rFonts w:cs="Times New Roman"/>
          <w:sz w:val="22"/>
          <w:lang w:val="en-US"/>
        </w:rPr>
        <w:t xml:space="preserve">link-level </w:t>
      </w:r>
      <w:r w:rsidRPr="005F1FD5">
        <w:rPr>
          <w:rFonts w:cs="Times New Roman"/>
          <w:sz w:val="22"/>
          <w:lang w:val="en-US"/>
        </w:rPr>
        <w:t>simulations are needed to evaluate PAPR growth, signal distortion, and uplink performance across different layer counts. These results will help identify the practical upper limit of supported layers for which DFT-s-OFDM still offers meaningful efficiency advantages. In parallel, adopting a dynamic waveform switching strategy remains a promising approach: DFT-s-OFDM can be selected when power efficiency and coverage are the priority, while CP-OFDM can be used when higher throughput and spectral efficiency are required. Such adaptability ensures that the uplink system consistently chooses the most suitable waveform for the operating conditions, achieving an optimal balance between energy efficiency, performance, and implementation complexity</w:t>
      </w:r>
      <w:r w:rsidR="000836DA">
        <w:rPr>
          <w:rFonts w:cs="Times New Roman"/>
          <w:sz w:val="22"/>
          <w:lang w:val="en-US"/>
        </w:rPr>
        <w:t>.</w:t>
      </w:r>
    </w:p>
    <w:p w14:paraId="2228D91D" w14:textId="25E743A8" w:rsidR="0087184E" w:rsidRDefault="00502CB8" w:rsidP="000E18A1">
      <w:pPr>
        <w:jc w:val="both"/>
        <w:rPr>
          <w:b/>
          <w:bCs/>
          <w:sz w:val="22"/>
          <w:lang w:val="en-US"/>
        </w:rPr>
      </w:pPr>
      <w:r w:rsidRPr="00BF7B0E">
        <w:rPr>
          <w:b/>
          <w:bCs/>
          <w:sz w:val="22"/>
          <w:lang w:val="en-US"/>
        </w:rPr>
        <w:t xml:space="preserve">Observation 2: </w:t>
      </w:r>
      <w:r w:rsidR="00280F0F">
        <w:rPr>
          <w:b/>
          <w:bCs/>
          <w:sz w:val="22"/>
          <w:lang w:val="en-US"/>
        </w:rPr>
        <w:t xml:space="preserve">Increasing the number of layers </w:t>
      </w:r>
      <w:r w:rsidR="004475DB">
        <w:rPr>
          <w:b/>
          <w:bCs/>
          <w:sz w:val="22"/>
          <w:lang w:val="en-US"/>
        </w:rPr>
        <w:t>causes DFT-s-OFDM to lose its low PAPR advantage</w:t>
      </w:r>
      <w:r w:rsidR="00A80201">
        <w:rPr>
          <w:b/>
          <w:bCs/>
          <w:sz w:val="22"/>
          <w:lang w:val="en-US"/>
        </w:rPr>
        <w:t xml:space="preserve"> due to precoding-induced signal superposition.</w:t>
      </w:r>
      <w:r w:rsidR="00171DCB">
        <w:rPr>
          <w:b/>
          <w:bCs/>
          <w:sz w:val="22"/>
          <w:lang w:val="en-US"/>
        </w:rPr>
        <w:t xml:space="preserve"> </w:t>
      </w:r>
      <w:r w:rsidR="00A80201">
        <w:rPr>
          <w:b/>
          <w:bCs/>
          <w:sz w:val="22"/>
          <w:lang w:val="en-US"/>
        </w:rPr>
        <w:t>Link</w:t>
      </w:r>
      <w:r w:rsidR="00171DCB">
        <w:rPr>
          <w:b/>
          <w:bCs/>
          <w:sz w:val="22"/>
          <w:lang w:val="en-US"/>
        </w:rPr>
        <w:t xml:space="preserve">-level simulations are required to </w:t>
      </w:r>
      <w:r w:rsidR="00CE230C">
        <w:rPr>
          <w:b/>
          <w:bCs/>
          <w:sz w:val="22"/>
          <w:lang w:val="en-US"/>
        </w:rPr>
        <w:t xml:space="preserve">determine the maximum layer count at which DFT-s-OFDM </w:t>
      </w:r>
      <w:r w:rsidR="006D15B8">
        <w:rPr>
          <w:b/>
          <w:bCs/>
          <w:sz w:val="22"/>
          <w:lang w:val="en-US"/>
        </w:rPr>
        <w:t>can operate effectively without compromising its intended performance.</w:t>
      </w:r>
    </w:p>
    <w:p w14:paraId="033DBD85" w14:textId="77777777" w:rsidR="009B621A" w:rsidRDefault="0087184E" w:rsidP="000E18A1">
      <w:pPr>
        <w:jc w:val="both"/>
        <w:rPr>
          <w:b/>
          <w:bCs/>
          <w:sz w:val="22"/>
          <w:lang w:val="en-US"/>
        </w:rPr>
      </w:pPr>
      <w:r>
        <w:rPr>
          <w:b/>
          <w:bCs/>
          <w:sz w:val="22"/>
          <w:lang w:val="en-US"/>
        </w:rPr>
        <w:t xml:space="preserve">Proposal </w:t>
      </w:r>
      <w:r w:rsidR="00D212B7">
        <w:rPr>
          <w:b/>
          <w:bCs/>
          <w:sz w:val="22"/>
          <w:lang w:val="en-US"/>
        </w:rPr>
        <w:t>2:</w:t>
      </w:r>
      <w:r w:rsidR="00D16742">
        <w:rPr>
          <w:b/>
          <w:bCs/>
          <w:sz w:val="22"/>
          <w:lang w:val="en-US"/>
        </w:rPr>
        <w:t xml:space="preserve"> </w:t>
      </w:r>
      <w:r w:rsidR="00CC2873">
        <w:rPr>
          <w:b/>
          <w:bCs/>
          <w:sz w:val="22"/>
          <w:lang w:val="en-US"/>
        </w:rPr>
        <w:t>Stud</w:t>
      </w:r>
      <w:r w:rsidR="00305008">
        <w:rPr>
          <w:b/>
          <w:bCs/>
          <w:sz w:val="22"/>
          <w:lang w:val="en-US"/>
        </w:rPr>
        <w:t>y on enabling the DFT-s-OFDM waveform for multi-layer transm</w:t>
      </w:r>
      <w:r w:rsidR="008C5AC3">
        <w:rPr>
          <w:b/>
          <w:bCs/>
          <w:sz w:val="22"/>
          <w:lang w:val="en-US"/>
        </w:rPr>
        <w:t xml:space="preserve">ission up to layer ‘N’, examining </w:t>
      </w:r>
      <w:r w:rsidR="00BD6B95">
        <w:rPr>
          <w:b/>
          <w:bCs/>
          <w:sz w:val="22"/>
          <w:lang w:val="en-US"/>
        </w:rPr>
        <w:t>its feasibility, performance trade-offs, and uplink efficiency.</w:t>
      </w:r>
    </w:p>
    <w:p w14:paraId="4B297C8B" w14:textId="777C8FE3" w:rsidR="00502CB8" w:rsidRPr="00BF7B0E" w:rsidRDefault="009B621A" w:rsidP="00AA719A">
      <w:pPr>
        <w:ind w:left="720"/>
        <w:jc w:val="both"/>
        <w:rPr>
          <w:b/>
          <w:bCs/>
          <w:sz w:val="22"/>
          <w:lang w:val="en-US"/>
        </w:rPr>
      </w:pPr>
      <w:r>
        <w:rPr>
          <w:b/>
          <w:bCs/>
          <w:sz w:val="22"/>
          <w:lang w:val="en-US"/>
        </w:rPr>
        <w:t xml:space="preserve">FFS: </w:t>
      </w:r>
      <w:r w:rsidR="007777E9">
        <w:rPr>
          <w:b/>
          <w:bCs/>
          <w:sz w:val="22"/>
          <w:lang w:val="en-US"/>
        </w:rPr>
        <w:t xml:space="preserve">Study on determining the value of ‘N’ through </w:t>
      </w:r>
      <w:r w:rsidR="00257D4B">
        <w:rPr>
          <w:b/>
          <w:bCs/>
          <w:sz w:val="22"/>
          <w:lang w:val="en-US"/>
        </w:rPr>
        <w:t>link-level simulations to ensure measurable performance improvement.</w:t>
      </w:r>
    </w:p>
    <w:p w14:paraId="37F7C805" w14:textId="722BB8C3" w:rsidR="000E18A1" w:rsidRPr="009404B7" w:rsidRDefault="006E1D30" w:rsidP="000E18A1">
      <w:pPr>
        <w:jc w:val="both"/>
        <w:rPr>
          <w:b/>
          <w:bCs/>
          <w:sz w:val="22"/>
          <w:lang w:val="en-US"/>
        </w:rPr>
      </w:pPr>
      <w:r w:rsidRPr="009404B7">
        <w:rPr>
          <w:b/>
          <w:bCs/>
          <w:sz w:val="22"/>
          <w:lang w:val="en-US"/>
        </w:rPr>
        <w:t>Observation 3:</w:t>
      </w:r>
      <w:r w:rsidR="00304239" w:rsidRPr="009404B7">
        <w:rPr>
          <w:b/>
          <w:bCs/>
          <w:sz w:val="22"/>
          <w:lang w:val="en-US"/>
        </w:rPr>
        <w:t xml:space="preserve"> Dynamic waveform switc</w:t>
      </w:r>
      <w:r w:rsidR="0064645C" w:rsidRPr="009404B7">
        <w:rPr>
          <w:b/>
          <w:bCs/>
          <w:sz w:val="22"/>
          <w:lang w:val="en-US"/>
        </w:rPr>
        <w:t xml:space="preserve">hing enables the transmitter to </w:t>
      </w:r>
      <w:r w:rsidR="00823826" w:rsidRPr="009404B7">
        <w:rPr>
          <w:b/>
          <w:bCs/>
          <w:sz w:val="22"/>
          <w:lang w:val="en-US"/>
        </w:rPr>
        <w:t xml:space="preserve">effectively </w:t>
      </w:r>
      <w:r w:rsidR="00AD58B9" w:rsidRPr="009404B7">
        <w:rPr>
          <w:b/>
          <w:bCs/>
          <w:sz w:val="22"/>
          <w:lang w:val="en-US"/>
        </w:rPr>
        <w:t xml:space="preserve">adapt the waveform to current network conditions, ensuring </w:t>
      </w:r>
      <w:r w:rsidR="00964F79" w:rsidRPr="009404B7">
        <w:rPr>
          <w:b/>
          <w:bCs/>
          <w:sz w:val="22"/>
          <w:lang w:val="en-US"/>
        </w:rPr>
        <w:t>the balance between coverage, efficiency and throughput.</w:t>
      </w:r>
    </w:p>
    <w:p w14:paraId="09E0A457" w14:textId="078C38E5" w:rsidR="006E1D30" w:rsidRDefault="006E1D30" w:rsidP="000E18A1">
      <w:pPr>
        <w:jc w:val="both"/>
        <w:rPr>
          <w:b/>
          <w:bCs/>
          <w:sz w:val="22"/>
          <w:lang w:val="en-US"/>
        </w:rPr>
      </w:pPr>
      <w:r w:rsidRPr="009404B7">
        <w:rPr>
          <w:b/>
          <w:bCs/>
          <w:sz w:val="22"/>
          <w:lang w:val="en-US"/>
        </w:rPr>
        <w:t>Proposal 3</w:t>
      </w:r>
      <w:r w:rsidR="000330ED" w:rsidRPr="009404B7">
        <w:rPr>
          <w:b/>
          <w:bCs/>
          <w:sz w:val="22"/>
          <w:lang w:val="en-US"/>
        </w:rPr>
        <w:t xml:space="preserve">: </w:t>
      </w:r>
      <w:r w:rsidR="002E33CF" w:rsidRPr="009404B7">
        <w:rPr>
          <w:b/>
          <w:bCs/>
          <w:sz w:val="22"/>
          <w:lang w:val="en-US"/>
        </w:rPr>
        <w:t>Dy</w:t>
      </w:r>
      <w:r w:rsidR="0013455E" w:rsidRPr="009404B7">
        <w:rPr>
          <w:b/>
          <w:bCs/>
          <w:sz w:val="22"/>
          <w:lang w:val="en-US"/>
        </w:rPr>
        <w:t xml:space="preserve">namic waveform switching allows real-time adaptation of the waveform to meet varying </w:t>
      </w:r>
      <w:r w:rsidR="009404B7" w:rsidRPr="009404B7">
        <w:rPr>
          <w:b/>
          <w:bCs/>
          <w:sz w:val="22"/>
          <w:lang w:val="en-US"/>
        </w:rPr>
        <w:t>uplink requirements.</w:t>
      </w:r>
    </w:p>
    <w:p w14:paraId="531DA7A9" w14:textId="77777777" w:rsidR="00D22D33" w:rsidRPr="009404B7" w:rsidRDefault="00D22D33" w:rsidP="000E18A1">
      <w:pPr>
        <w:jc w:val="both"/>
        <w:rPr>
          <w:b/>
          <w:bCs/>
          <w:sz w:val="22"/>
          <w:lang w:val="en-US"/>
        </w:rPr>
      </w:pPr>
    </w:p>
    <w:p w14:paraId="5AF29DE2" w14:textId="13A77656" w:rsidR="000E18A1" w:rsidRPr="009C4AA2" w:rsidRDefault="006C0FE6" w:rsidP="000E18A1">
      <w:pPr>
        <w:jc w:val="both"/>
        <w:rPr>
          <w:rFonts w:ascii="Arial" w:hAnsi="Arial" w:cs="Arial"/>
          <w:b/>
          <w:bCs/>
          <w:sz w:val="24"/>
          <w:szCs w:val="24"/>
          <w:lang w:val="en-US"/>
        </w:rPr>
      </w:pPr>
      <w:r w:rsidRPr="00D22D33">
        <w:rPr>
          <w:rFonts w:ascii="Arial" w:hAnsi="Arial" w:cs="Arial"/>
          <w:b/>
          <w:bCs/>
          <w:sz w:val="24"/>
          <w:szCs w:val="24"/>
          <w:lang w:val="en-US"/>
        </w:rPr>
        <w:t xml:space="preserve">2.3 DFT-s-OFDM for NTN </w:t>
      </w:r>
    </w:p>
    <w:p w14:paraId="289FDD44" w14:textId="77777777" w:rsidR="000E18A1" w:rsidRPr="009C4AA2" w:rsidRDefault="000E18A1" w:rsidP="000E18A1">
      <w:pPr>
        <w:jc w:val="both"/>
        <w:rPr>
          <w:sz w:val="22"/>
          <w:lang w:val="en-US"/>
        </w:rPr>
      </w:pPr>
      <w:r w:rsidRPr="009C4AA2">
        <w:rPr>
          <w:sz w:val="22"/>
          <w:lang w:val="en-US"/>
        </w:rPr>
        <w:t>In a terrestrial network, using DFT-s-OFDM for the downlink offers little advantage because the base station is connected to the power grid and can easily accommodate the high Peak-to-Average Power Ratio (PAPR) of CP-OFDM using large, high-power amplifiers. However, in a Non-Terrestrial Network (NTN), the situation is entirely different. Here, the “base station” is a satellite, a system running entirely on solar energy and onboard batteries, where every watt of power matters. Power efficiency is therefore as critical for the satellite as it is for a mobile device on the ground. In this context, DFT-s-OFDM becomes an excellent choice for the NTN downlink, primarily because of its low PAPR characteristics. Unlike CP-OFDM, which produces large instantaneous power peaks that require the amplifier to back off from its saturation point, DFT-s-OFDM generates a smoother signal envelope. This allows the satellite’s power amplifier to operate closer to its maximum efficiency, conserving power.</w:t>
      </w:r>
    </w:p>
    <w:p w14:paraId="30B5087B" w14:textId="3218A6CC" w:rsidR="00191A34" w:rsidRDefault="001146C9" w:rsidP="004C45AE">
      <w:pPr>
        <w:jc w:val="both"/>
        <w:rPr>
          <w:sz w:val="22"/>
          <w:lang w:val="en-US"/>
        </w:rPr>
      </w:pPr>
      <w:r>
        <w:rPr>
          <w:sz w:val="22"/>
          <w:lang w:val="en-US"/>
        </w:rPr>
        <w:t>[2]</w:t>
      </w:r>
      <w:r w:rsidR="00376883">
        <w:rPr>
          <w:sz w:val="22"/>
          <w:lang w:val="en-US"/>
        </w:rPr>
        <w:t xml:space="preserve"> </w:t>
      </w:r>
      <w:r w:rsidR="00191A34">
        <w:rPr>
          <w:sz w:val="22"/>
          <w:lang w:val="en-US"/>
        </w:rPr>
        <w:t xml:space="preserve">Recent studies </w:t>
      </w:r>
      <w:r w:rsidR="005A5D80">
        <w:rPr>
          <w:sz w:val="22"/>
          <w:lang w:val="en-US"/>
        </w:rPr>
        <w:t xml:space="preserve">directly investigating DFT-s-OFDM as a downlink waveform have shown that </w:t>
      </w:r>
      <w:r w:rsidR="00DC4EE6">
        <w:rPr>
          <w:sz w:val="22"/>
          <w:lang w:val="en-US"/>
        </w:rPr>
        <w:t xml:space="preserve">its low PAPR enables the satellite’s power amplifier to operate </w:t>
      </w:r>
      <w:r w:rsidR="00EE04B6">
        <w:rPr>
          <w:sz w:val="22"/>
          <w:lang w:val="en-US"/>
        </w:rPr>
        <w:t xml:space="preserve">far more efficiently. As a result, downlink coverage can improve </w:t>
      </w:r>
      <w:r w:rsidR="008D10F8">
        <w:rPr>
          <w:sz w:val="22"/>
          <w:lang w:val="en-US"/>
        </w:rPr>
        <w:t xml:space="preserve">by up to 20% compared to CP-OFDM, representing </w:t>
      </w:r>
      <w:r w:rsidR="00F36087">
        <w:rPr>
          <w:sz w:val="22"/>
          <w:lang w:val="en-US"/>
        </w:rPr>
        <w:t xml:space="preserve">a substantial gain for power-limited satellites. This improvement directly </w:t>
      </w:r>
      <w:r w:rsidR="00F62D89">
        <w:rPr>
          <w:sz w:val="22"/>
          <w:lang w:val="en-US"/>
        </w:rPr>
        <w:t xml:space="preserve">translates into wider service areas and more reliable connectivity, even </w:t>
      </w:r>
      <w:r w:rsidR="00B1303A">
        <w:rPr>
          <w:sz w:val="22"/>
          <w:lang w:val="en-US"/>
        </w:rPr>
        <w:t>under challenging link conditions such as rain fade or users positioned near the beam edge.</w:t>
      </w:r>
    </w:p>
    <w:p w14:paraId="097FCBF0" w14:textId="4B6FA4B6" w:rsidR="000E18A1" w:rsidRPr="009C4AA2" w:rsidRDefault="000E18A1" w:rsidP="000E18A1">
      <w:pPr>
        <w:jc w:val="both"/>
        <w:rPr>
          <w:sz w:val="22"/>
          <w:lang w:val="en-US"/>
        </w:rPr>
      </w:pPr>
      <w:r w:rsidRPr="009C4AA2">
        <w:rPr>
          <w:sz w:val="22"/>
          <w:lang w:val="en-US"/>
        </w:rPr>
        <w:t>In short, adopting DFT-s-OFDM for NTN downlink transmissions offers a simple yet powerful advantage</w:t>
      </w:r>
      <w:r w:rsidR="00825774">
        <w:rPr>
          <w:sz w:val="22"/>
          <w:lang w:val="en-US"/>
        </w:rPr>
        <w:t xml:space="preserve"> where </w:t>
      </w:r>
      <w:r w:rsidRPr="009C4AA2">
        <w:rPr>
          <w:sz w:val="22"/>
          <w:lang w:val="en-US"/>
        </w:rPr>
        <w:t>it allows satellites to make the most of every watt of power, leading to better coverage, improved reliability, and more energy-efficient communication, all of which are essential for sustainable space-based connectivity.</w:t>
      </w:r>
    </w:p>
    <w:p w14:paraId="44967426" w14:textId="5FF9BE1D" w:rsidR="000E18A1" w:rsidRPr="007949A6" w:rsidRDefault="001B3446" w:rsidP="000E18A1">
      <w:pPr>
        <w:jc w:val="both"/>
        <w:rPr>
          <w:b/>
          <w:bCs/>
          <w:sz w:val="22"/>
          <w:lang w:val="en-US"/>
        </w:rPr>
      </w:pPr>
      <w:r w:rsidRPr="007949A6">
        <w:rPr>
          <w:b/>
          <w:bCs/>
          <w:sz w:val="22"/>
          <w:lang w:val="en-US"/>
        </w:rPr>
        <w:t>Observation 4:</w:t>
      </w:r>
      <w:r w:rsidR="00546D48" w:rsidRPr="007949A6">
        <w:rPr>
          <w:b/>
          <w:bCs/>
          <w:sz w:val="22"/>
          <w:lang w:val="en-US"/>
        </w:rPr>
        <w:t xml:space="preserve"> </w:t>
      </w:r>
      <w:r w:rsidR="0011575E">
        <w:rPr>
          <w:b/>
          <w:bCs/>
          <w:sz w:val="22"/>
          <w:lang w:val="en-US"/>
        </w:rPr>
        <w:t>20% improvement in dow</w:t>
      </w:r>
      <w:r w:rsidR="00C72813">
        <w:rPr>
          <w:b/>
          <w:bCs/>
          <w:sz w:val="22"/>
          <w:lang w:val="en-US"/>
        </w:rPr>
        <w:t>nlink coverage allows the satellite to deliver a stronger and more reliable signal</w:t>
      </w:r>
      <w:r w:rsidR="00825256">
        <w:rPr>
          <w:b/>
          <w:bCs/>
          <w:sz w:val="22"/>
          <w:lang w:val="en-US"/>
        </w:rPr>
        <w:t>, extending connectivity across a wider area.</w:t>
      </w:r>
    </w:p>
    <w:p w14:paraId="432F9A08" w14:textId="6F3748F1" w:rsidR="00270737" w:rsidRPr="005D1875" w:rsidRDefault="001B3446" w:rsidP="005D1875">
      <w:pPr>
        <w:jc w:val="both"/>
        <w:rPr>
          <w:b/>
          <w:bCs/>
          <w:sz w:val="22"/>
          <w:lang w:val="en-US"/>
        </w:rPr>
      </w:pPr>
      <w:r w:rsidRPr="007949A6">
        <w:rPr>
          <w:b/>
          <w:bCs/>
          <w:sz w:val="22"/>
          <w:lang w:val="en-US"/>
        </w:rPr>
        <w:lastRenderedPageBreak/>
        <w:t>Proposal 4:</w:t>
      </w:r>
      <w:r w:rsidR="0022124B" w:rsidRPr="007949A6">
        <w:rPr>
          <w:b/>
          <w:bCs/>
          <w:sz w:val="22"/>
          <w:lang w:val="en-US"/>
        </w:rPr>
        <w:t xml:space="preserve"> DFT-s-OFDM is a power-efficient </w:t>
      </w:r>
      <w:r w:rsidR="00DE1F2C" w:rsidRPr="007949A6">
        <w:rPr>
          <w:b/>
          <w:bCs/>
          <w:sz w:val="22"/>
          <w:lang w:val="en-US"/>
        </w:rPr>
        <w:t>choice for NTN downlink transmission which offers</w:t>
      </w:r>
      <w:r w:rsidR="00743D91" w:rsidRPr="007949A6">
        <w:rPr>
          <w:b/>
          <w:bCs/>
          <w:sz w:val="22"/>
          <w:lang w:val="en-US"/>
        </w:rPr>
        <w:t xml:space="preserve"> stronger signal coverage for energy-constrained satellites.</w:t>
      </w:r>
    </w:p>
    <w:p w14:paraId="1B35217A" w14:textId="12F4F966" w:rsidR="00847264" w:rsidRPr="00A7736C" w:rsidRDefault="00CD7492" w:rsidP="008C39F7">
      <w:pPr>
        <w:pStyle w:val="RAN4H1"/>
        <w:rPr>
          <w:b/>
          <w:bCs/>
          <w:sz w:val="32"/>
          <w:szCs w:val="18"/>
          <w:lang w:val="en-US"/>
        </w:rPr>
      </w:pPr>
      <w:bookmarkStart w:id="12" w:name="_Toc116995848"/>
      <w:r w:rsidRPr="00A7736C">
        <w:rPr>
          <w:b/>
          <w:bCs/>
          <w:sz w:val="32"/>
          <w:szCs w:val="18"/>
          <w:lang w:val="en-US"/>
        </w:rPr>
        <w:t>Conclusion</w:t>
      </w:r>
      <w:bookmarkStart w:id="13" w:name="_Toc116995849"/>
      <w:bookmarkEnd w:id="12"/>
    </w:p>
    <w:p w14:paraId="2F5811B3" w14:textId="58BEB05B" w:rsidR="00557BB7" w:rsidRDefault="00557BB7" w:rsidP="006C744D">
      <w:pPr>
        <w:pStyle w:val="RAN4H1"/>
        <w:numPr>
          <w:ilvl w:val="0"/>
          <w:numId w:val="0"/>
        </w:numPr>
        <w:rPr>
          <w:lang w:val="en-US"/>
        </w:rPr>
      </w:pPr>
      <w:bookmarkStart w:id="14" w:name="_Hlk181955750"/>
      <w:r w:rsidRPr="00A7736C">
        <w:rPr>
          <w:rFonts w:ascii="Times New Roman" w:hAnsi="Times New Roman"/>
          <w:sz w:val="22"/>
          <w:szCs w:val="22"/>
          <w:lang w:val="en-US"/>
        </w:rPr>
        <w:t>This section summarizes our views by listing all the observations and proposals discussed in this contribution</w:t>
      </w:r>
      <w:r w:rsidR="00A7736C" w:rsidRPr="00A7736C">
        <w:rPr>
          <w:rFonts w:ascii="Times New Roman" w:hAnsi="Times New Roman"/>
          <w:sz w:val="22"/>
          <w:szCs w:val="22"/>
          <w:lang w:val="en-US"/>
        </w:rPr>
        <w:t>.</w:t>
      </w:r>
    </w:p>
    <w:p w14:paraId="1BD23967" w14:textId="77777777" w:rsidR="008A63C3" w:rsidRPr="00072276" w:rsidRDefault="008A63C3" w:rsidP="008A63C3">
      <w:pPr>
        <w:jc w:val="both"/>
        <w:rPr>
          <w:b/>
          <w:bCs/>
          <w:sz w:val="22"/>
        </w:rPr>
      </w:pPr>
      <w:r w:rsidRPr="00072276">
        <w:rPr>
          <w:b/>
          <w:bCs/>
          <w:sz w:val="22"/>
        </w:rPr>
        <w:t>Observation 1: When FDSS-SE is applied to DFT-s-OFDM, it effectively lowers the PAPR, allowing user devices to transmit more efficiently and maintain stronger uplink connections over wider coverage areas.</w:t>
      </w:r>
    </w:p>
    <w:p w14:paraId="6AF0F317" w14:textId="6777C387" w:rsidR="008A63C3" w:rsidRDefault="008A63C3" w:rsidP="008A63C3">
      <w:pPr>
        <w:jc w:val="both"/>
        <w:rPr>
          <w:b/>
          <w:bCs/>
          <w:sz w:val="22"/>
        </w:rPr>
      </w:pPr>
      <w:r w:rsidRPr="00072276">
        <w:rPr>
          <w:b/>
          <w:bCs/>
          <w:sz w:val="22"/>
        </w:rPr>
        <w:t xml:space="preserve">Proposal 1: </w:t>
      </w:r>
      <w:r w:rsidR="00B33891">
        <w:rPr>
          <w:b/>
          <w:bCs/>
          <w:sz w:val="22"/>
        </w:rPr>
        <w:t>Su</w:t>
      </w:r>
      <w:r w:rsidR="00037C67">
        <w:rPr>
          <w:b/>
          <w:bCs/>
          <w:sz w:val="22"/>
        </w:rPr>
        <w:t>pport</w:t>
      </w:r>
      <w:r w:rsidR="00B33891">
        <w:rPr>
          <w:b/>
          <w:bCs/>
          <w:sz w:val="22"/>
        </w:rPr>
        <w:t xml:space="preserve"> the integration of FDSS-SE with DFT-s-OFDM, as this combination provides an efficient uplink waveform for 6GR that improves power efficiency and extends coverage for power-constrained user devices.</w:t>
      </w:r>
    </w:p>
    <w:p w14:paraId="41A7C64D" w14:textId="4430109F" w:rsidR="008A63C3" w:rsidRPr="00BF7B0E" w:rsidRDefault="008A63C3" w:rsidP="008A63C3">
      <w:pPr>
        <w:jc w:val="both"/>
        <w:rPr>
          <w:b/>
          <w:bCs/>
          <w:sz w:val="22"/>
          <w:lang w:val="en-US"/>
        </w:rPr>
      </w:pPr>
      <w:r w:rsidRPr="00BF7B0E">
        <w:rPr>
          <w:b/>
          <w:bCs/>
          <w:sz w:val="22"/>
          <w:lang w:val="en-US"/>
        </w:rPr>
        <w:t>Observation 2</w:t>
      </w:r>
      <w:r w:rsidR="00EC54C8">
        <w:rPr>
          <w:b/>
          <w:bCs/>
          <w:sz w:val="22"/>
          <w:lang w:val="en-US"/>
        </w:rPr>
        <w:t xml:space="preserve">: </w:t>
      </w:r>
      <w:r w:rsidR="00EC54C8">
        <w:rPr>
          <w:b/>
          <w:bCs/>
          <w:sz w:val="22"/>
          <w:lang w:val="en-US"/>
        </w:rPr>
        <w:t>Increasing the number of layers causes DFT-s-OFDM to lose its low PAPR advantage due to precoding-induced signal superposition. Link-level simulations are required to determine the maximum layer count at which DFT-s-OFDM can operate effectively without compromising its intended performance.</w:t>
      </w:r>
    </w:p>
    <w:p w14:paraId="134B4BE3" w14:textId="77777777" w:rsidR="006A5EF8" w:rsidRDefault="006A5EF8" w:rsidP="006A5EF8">
      <w:pPr>
        <w:jc w:val="both"/>
        <w:rPr>
          <w:b/>
          <w:bCs/>
          <w:sz w:val="22"/>
          <w:lang w:val="en-US"/>
        </w:rPr>
      </w:pPr>
      <w:r>
        <w:rPr>
          <w:b/>
          <w:bCs/>
          <w:sz w:val="22"/>
          <w:lang w:val="en-US"/>
        </w:rPr>
        <w:t>Proposal 2: Study on enabling the DFT-s-OFDM waveform for multi-layer transmission up to layer ‘N’, examining its feasibility, performance trade-offs, and uplink efficiency.</w:t>
      </w:r>
    </w:p>
    <w:p w14:paraId="4AAB06E6" w14:textId="77777777" w:rsidR="006A5EF8" w:rsidRPr="00BF7B0E" w:rsidRDefault="006A5EF8" w:rsidP="006A5EF8">
      <w:pPr>
        <w:ind w:left="720"/>
        <w:jc w:val="both"/>
        <w:rPr>
          <w:b/>
          <w:bCs/>
          <w:sz w:val="22"/>
          <w:lang w:val="en-US"/>
        </w:rPr>
      </w:pPr>
      <w:r>
        <w:rPr>
          <w:b/>
          <w:bCs/>
          <w:sz w:val="22"/>
          <w:lang w:val="en-US"/>
        </w:rPr>
        <w:t>FFS: Study on determining the value of ‘N’ through link-level simulations to ensure measurable performance improvement.</w:t>
      </w:r>
    </w:p>
    <w:p w14:paraId="3485D70A" w14:textId="478E901A" w:rsidR="008A63C3" w:rsidRPr="009404B7" w:rsidRDefault="008A63C3" w:rsidP="008A63C3">
      <w:pPr>
        <w:jc w:val="both"/>
        <w:rPr>
          <w:b/>
          <w:bCs/>
          <w:sz w:val="22"/>
          <w:lang w:val="en-US"/>
        </w:rPr>
      </w:pPr>
      <w:r w:rsidRPr="009404B7">
        <w:rPr>
          <w:b/>
          <w:bCs/>
          <w:sz w:val="22"/>
          <w:lang w:val="en-US"/>
        </w:rPr>
        <w:t>Observation 3: Dynamic waveform switching enables the transmitter to effectively adapt the waveform to current network conditions, ensuring the balance between coverage, efficiency and throughput.</w:t>
      </w:r>
    </w:p>
    <w:p w14:paraId="0D976604" w14:textId="77777777" w:rsidR="008A63C3" w:rsidRDefault="008A63C3" w:rsidP="008A63C3">
      <w:pPr>
        <w:jc w:val="both"/>
        <w:rPr>
          <w:b/>
          <w:bCs/>
          <w:sz w:val="22"/>
          <w:lang w:val="en-US"/>
        </w:rPr>
      </w:pPr>
      <w:r w:rsidRPr="009404B7">
        <w:rPr>
          <w:b/>
          <w:bCs/>
          <w:sz w:val="22"/>
          <w:lang w:val="en-US"/>
        </w:rPr>
        <w:t>Proposal 3: Dynamic waveform switching allows real-time adaptation of the waveform to meet varying uplink requirements.</w:t>
      </w:r>
    </w:p>
    <w:p w14:paraId="351E60AF" w14:textId="77777777" w:rsidR="00740563" w:rsidRPr="007949A6" w:rsidRDefault="00740563" w:rsidP="00740563">
      <w:pPr>
        <w:jc w:val="both"/>
        <w:rPr>
          <w:b/>
          <w:bCs/>
          <w:sz w:val="22"/>
          <w:lang w:val="en-US"/>
        </w:rPr>
      </w:pPr>
      <w:r w:rsidRPr="007949A6">
        <w:rPr>
          <w:b/>
          <w:bCs/>
          <w:sz w:val="22"/>
          <w:lang w:val="en-US"/>
        </w:rPr>
        <w:t xml:space="preserve">Observation 4: </w:t>
      </w:r>
      <w:r>
        <w:rPr>
          <w:b/>
          <w:bCs/>
          <w:sz w:val="22"/>
          <w:lang w:val="en-US"/>
        </w:rPr>
        <w:t>20% improvement in downlink coverage allows the satellite to deliver a stronger and more reliable signal, extending connectivity across a wider area.</w:t>
      </w:r>
    </w:p>
    <w:p w14:paraId="2728BD7F" w14:textId="3DFF0501" w:rsidR="004D51BD" w:rsidRPr="002910E2" w:rsidRDefault="002311D8" w:rsidP="006130A2">
      <w:pPr>
        <w:jc w:val="both"/>
        <w:rPr>
          <w:b/>
          <w:bCs/>
          <w:sz w:val="22"/>
          <w:lang w:val="en-US"/>
        </w:rPr>
      </w:pPr>
      <w:r w:rsidRPr="007949A6">
        <w:rPr>
          <w:b/>
          <w:bCs/>
          <w:sz w:val="22"/>
          <w:lang w:val="en-US"/>
        </w:rPr>
        <w:t>Proposal 4: DFT-s-OFDM is a power-efficient choice for NTN downlink transmission which offers stronger signal coverage for energy-constrained satellites.</w:t>
      </w:r>
    </w:p>
    <w:bookmarkEnd w:id="14"/>
    <w:p w14:paraId="6051F4F9" w14:textId="63A72ABA" w:rsidR="003B659E" w:rsidRPr="0099136D" w:rsidRDefault="0099136D" w:rsidP="0060543D">
      <w:pPr>
        <w:pStyle w:val="RAN4H1"/>
        <w:numPr>
          <w:ilvl w:val="0"/>
          <w:numId w:val="0"/>
        </w:numPr>
        <w:ind w:left="360" w:hanging="360"/>
        <w:rPr>
          <w:b/>
          <w:bCs/>
          <w:sz w:val="32"/>
          <w:szCs w:val="18"/>
          <w:lang w:val="en-US"/>
        </w:rPr>
      </w:pPr>
      <w:r w:rsidRPr="0099136D">
        <w:rPr>
          <w:b/>
          <w:bCs/>
          <w:sz w:val="32"/>
          <w:szCs w:val="18"/>
          <w:lang w:val="en-US"/>
        </w:rPr>
        <w:t xml:space="preserve">4 </w:t>
      </w:r>
      <w:r w:rsidR="003B659E" w:rsidRPr="0099136D">
        <w:rPr>
          <w:b/>
          <w:bCs/>
          <w:sz w:val="32"/>
          <w:szCs w:val="18"/>
          <w:lang w:val="en-US"/>
        </w:rPr>
        <w:t>References</w:t>
      </w:r>
      <w:bookmarkEnd w:id="13"/>
    </w:p>
    <w:p w14:paraId="35489DBD" w14:textId="77777777" w:rsidR="002910E2" w:rsidRPr="002910E2" w:rsidRDefault="002910E2" w:rsidP="002910E2">
      <w:pPr>
        <w:pStyle w:val="ListParagraph"/>
        <w:numPr>
          <w:ilvl w:val="0"/>
          <w:numId w:val="5"/>
        </w:numPr>
        <w:rPr>
          <w:rFonts w:eastAsia="Times New Roman"/>
          <w:lang w:val="en-US"/>
        </w:rPr>
      </w:pPr>
      <w:r w:rsidRPr="002910E2">
        <w:rPr>
          <w:rFonts w:eastAsia="Times New Roman"/>
        </w:rPr>
        <w:t xml:space="preserve">I. Peruga Nasarre, T. Levanen, E. Tirola, K. Pajukoski, A. Lehti, and M. Valkama, “Enhanced Uplink Coverage for 5G NR: Frequency-Domain Spectral Shaping With Spectral Extension,” IEEE Access, vol. 9, pp. 135 040–135 056, 2021. </w:t>
      </w:r>
    </w:p>
    <w:p w14:paraId="3DD81DD3" w14:textId="21E3EDA7" w:rsidR="002910E2" w:rsidRDefault="002910E2" w:rsidP="002910E2">
      <w:pPr>
        <w:pStyle w:val="ListParagraph"/>
        <w:numPr>
          <w:ilvl w:val="0"/>
          <w:numId w:val="5"/>
        </w:numPr>
        <w:rPr>
          <w:rFonts w:eastAsia="Times New Roman"/>
        </w:rPr>
      </w:pPr>
      <w:r w:rsidRPr="002910E2">
        <w:rPr>
          <w:rFonts w:eastAsia="Times New Roman"/>
        </w:rPr>
        <w:t>L. Anttila, V. Toivonen, O. Tervo, E. Tiirola, K. Hooli, J. Talvitie, and M. Valkama, “Feasibility of DFT-s-OFDM in 6G Downlink: Coverage and Energy-Efficiency Assessment,” in Proc. IEEE 33rd Annual International Symposium on Personal, Indoor and Mobile Radio Communications (PIMRC), Lisbon, Portugal, Sep. 2022</w:t>
      </w:r>
      <w:r w:rsidR="003F6205">
        <w:rPr>
          <w:rFonts w:eastAsia="Times New Roman"/>
        </w:rPr>
        <w:t>.</w:t>
      </w:r>
    </w:p>
    <w:p w14:paraId="49C37C69" w14:textId="4A32353E" w:rsidR="003F6205" w:rsidRPr="002910E2" w:rsidRDefault="003F6205" w:rsidP="002910E2">
      <w:pPr>
        <w:pStyle w:val="ListParagraph"/>
        <w:numPr>
          <w:ilvl w:val="0"/>
          <w:numId w:val="5"/>
        </w:numPr>
        <w:rPr>
          <w:rFonts w:eastAsia="Times New Roman"/>
        </w:rPr>
      </w:pPr>
      <w:r>
        <w:rPr>
          <w:rFonts w:eastAsia="Times New Roman"/>
        </w:rPr>
        <w:t xml:space="preserve">Chair notes RAN1#122b </w:t>
      </w:r>
    </w:p>
    <w:p w14:paraId="67295D86" w14:textId="580D5B27" w:rsidR="002332CB" w:rsidRPr="002332CB" w:rsidRDefault="002332CB" w:rsidP="002910E2">
      <w:pPr>
        <w:pStyle w:val="ListParagraph"/>
        <w:rPr>
          <w:rFonts w:eastAsia="SimSun"/>
          <w:bCs/>
          <w:sz w:val="22"/>
          <w:lang w:eastAsia="zh-CN"/>
        </w:rPr>
      </w:pP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A2F5" w14:textId="77777777" w:rsidR="00CE7249" w:rsidRDefault="00CE7249" w:rsidP="00001C9B">
      <w:pPr>
        <w:spacing w:after="0" w:line="240" w:lineRule="auto"/>
      </w:pPr>
      <w:r>
        <w:separator/>
      </w:r>
    </w:p>
  </w:endnote>
  <w:endnote w:type="continuationSeparator" w:id="0">
    <w:p w14:paraId="06F6CC02" w14:textId="77777777" w:rsidR="00CE7249" w:rsidRDefault="00CE7249" w:rsidP="00001C9B">
      <w:pPr>
        <w:spacing w:after="0" w:line="240" w:lineRule="auto"/>
      </w:pPr>
      <w:r>
        <w:continuationSeparator/>
      </w:r>
    </w:p>
  </w:endnote>
  <w:endnote w:type="continuationNotice" w:id="1">
    <w:p w14:paraId="3FE76944" w14:textId="77777777" w:rsidR="00CE7249" w:rsidRDefault="00CE72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79D6" w14:textId="77777777" w:rsidR="00CE7249" w:rsidRDefault="00CE7249" w:rsidP="00001C9B">
      <w:pPr>
        <w:spacing w:after="0" w:line="240" w:lineRule="auto"/>
      </w:pPr>
      <w:r>
        <w:separator/>
      </w:r>
    </w:p>
  </w:footnote>
  <w:footnote w:type="continuationSeparator" w:id="0">
    <w:p w14:paraId="0BA169C2" w14:textId="77777777" w:rsidR="00CE7249" w:rsidRDefault="00CE7249" w:rsidP="00001C9B">
      <w:pPr>
        <w:spacing w:after="0" w:line="240" w:lineRule="auto"/>
      </w:pPr>
      <w:r>
        <w:continuationSeparator/>
      </w:r>
    </w:p>
  </w:footnote>
  <w:footnote w:type="continuationNotice" w:id="1">
    <w:p w14:paraId="4F01EE24" w14:textId="77777777" w:rsidR="00CE7249" w:rsidRDefault="00CE72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4403164">
    <w:abstractNumId w:val="6"/>
  </w:num>
  <w:num w:numId="2" w16cid:durableId="1603681297">
    <w:abstractNumId w:val="3"/>
  </w:num>
  <w:num w:numId="3" w16cid:durableId="1157578579">
    <w:abstractNumId w:val="5"/>
  </w:num>
  <w:num w:numId="4" w16cid:durableId="145825962">
    <w:abstractNumId w:val="8"/>
  </w:num>
  <w:num w:numId="5" w16cid:durableId="3216558">
    <w:abstractNumId w:val="7"/>
  </w:num>
  <w:num w:numId="6" w16cid:durableId="1989628575">
    <w:abstractNumId w:val="0"/>
  </w:num>
  <w:num w:numId="7" w16cid:durableId="1026180692">
    <w:abstractNumId w:val="4"/>
  </w:num>
  <w:num w:numId="8" w16cid:durableId="1849176678">
    <w:abstractNumId w:val="2"/>
  </w:num>
  <w:num w:numId="9" w16cid:durableId="108587719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0ED"/>
    <w:rsid w:val="00033B30"/>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C67"/>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5ED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0B9"/>
    <w:rsid w:val="00071288"/>
    <w:rsid w:val="000717C2"/>
    <w:rsid w:val="000717DA"/>
    <w:rsid w:val="000719C4"/>
    <w:rsid w:val="00071A42"/>
    <w:rsid w:val="00071DD8"/>
    <w:rsid w:val="00072276"/>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6DA"/>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976D1"/>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AE"/>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057"/>
    <w:rsid w:val="000B0760"/>
    <w:rsid w:val="000B0EE7"/>
    <w:rsid w:val="000B26D0"/>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395"/>
    <w:rsid w:val="000D7573"/>
    <w:rsid w:val="000E008F"/>
    <w:rsid w:val="000E02E2"/>
    <w:rsid w:val="000E03E1"/>
    <w:rsid w:val="000E08E2"/>
    <w:rsid w:val="000E149B"/>
    <w:rsid w:val="000E18A1"/>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4A74"/>
    <w:rsid w:val="000F5131"/>
    <w:rsid w:val="000F5CCA"/>
    <w:rsid w:val="000F6D46"/>
    <w:rsid w:val="000F725F"/>
    <w:rsid w:val="000F738A"/>
    <w:rsid w:val="000F7523"/>
    <w:rsid w:val="000F79BC"/>
    <w:rsid w:val="0010057D"/>
    <w:rsid w:val="00101253"/>
    <w:rsid w:val="00101CA2"/>
    <w:rsid w:val="00101DF5"/>
    <w:rsid w:val="001022CE"/>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46C9"/>
    <w:rsid w:val="0011563C"/>
    <w:rsid w:val="0011573E"/>
    <w:rsid w:val="0011575E"/>
    <w:rsid w:val="00115B88"/>
    <w:rsid w:val="00115F0B"/>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63"/>
    <w:rsid w:val="00124CFB"/>
    <w:rsid w:val="00124F42"/>
    <w:rsid w:val="00125637"/>
    <w:rsid w:val="0012641C"/>
    <w:rsid w:val="0012685B"/>
    <w:rsid w:val="00126D21"/>
    <w:rsid w:val="00127A79"/>
    <w:rsid w:val="00127ACB"/>
    <w:rsid w:val="001305BD"/>
    <w:rsid w:val="00130A37"/>
    <w:rsid w:val="0013137D"/>
    <w:rsid w:val="0013167C"/>
    <w:rsid w:val="00132081"/>
    <w:rsid w:val="001321F1"/>
    <w:rsid w:val="001324AF"/>
    <w:rsid w:val="00132998"/>
    <w:rsid w:val="00132D00"/>
    <w:rsid w:val="00132F6A"/>
    <w:rsid w:val="00132F96"/>
    <w:rsid w:val="001333F9"/>
    <w:rsid w:val="00133913"/>
    <w:rsid w:val="00133927"/>
    <w:rsid w:val="0013455E"/>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213"/>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DCB"/>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3E8"/>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1A34"/>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446"/>
    <w:rsid w:val="001B3B5D"/>
    <w:rsid w:val="001B49FE"/>
    <w:rsid w:val="001B560A"/>
    <w:rsid w:val="001B58F1"/>
    <w:rsid w:val="001B59E6"/>
    <w:rsid w:val="001B647B"/>
    <w:rsid w:val="001B6840"/>
    <w:rsid w:val="001B6BCB"/>
    <w:rsid w:val="001B6ED6"/>
    <w:rsid w:val="001B7E69"/>
    <w:rsid w:val="001C0009"/>
    <w:rsid w:val="001C006B"/>
    <w:rsid w:val="001C0488"/>
    <w:rsid w:val="001C06A0"/>
    <w:rsid w:val="001C0E05"/>
    <w:rsid w:val="001C193B"/>
    <w:rsid w:val="001C1A3C"/>
    <w:rsid w:val="001C3029"/>
    <w:rsid w:val="001C3060"/>
    <w:rsid w:val="001C3244"/>
    <w:rsid w:val="001C33CD"/>
    <w:rsid w:val="001C389F"/>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46F"/>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24B"/>
    <w:rsid w:val="00221984"/>
    <w:rsid w:val="00222097"/>
    <w:rsid w:val="002221E2"/>
    <w:rsid w:val="00222509"/>
    <w:rsid w:val="00222B0E"/>
    <w:rsid w:val="00223418"/>
    <w:rsid w:val="002236C5"/>
    <w:rsid w:val="00223775"/>
    <w:rsid w:val="00223AB7"/>
    <w:rsid w:val="00223DB4"/>
    <w:rsid w:val="002241EF"/>
    <w:rsid w:val="00224A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11D8"/>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D4B"/>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052"/>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0F0F"/>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E2"/>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1EF5"/>
    <w:rsid w:val="002C214D"/>
    <w:rsid w:val="002C22C3"/>
    <w:rsid w:val="002C234B"/>
    <w:rsid w:val="002C268D"/>
    <w:rsid w:val="002C2D19"/>
    <w:rsid w:val="002C322D"/>
    <w:rsid w:val="002C35A8"/>
    <w:rsid w:val="002C3CFB"/>
    <w:rsid w:val="002C446B"/>
    <w:rsid w:val="002C4788"/>
    <w:rsid w:val="002C57A5"/>
    <w:rsid w:val="002C5D9B"/>
    <w:rsid w:val="002C60C1"/>
    <w:rsid w:val="002C6607"/>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3CF"/>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39"/>
    <w:rsid w:val="003042C5"/>
    <w:rsid w:val="00304C92"/>
    <w:rsid w:val="00305008"/>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B23"/>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346"/>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655"/>
    <w:rsid w:val="00372821"/>
    <w:rsid w:val="003729CA"/>
    <w:rsid w:val="003729E6"/>
    <w:rsid w:val="00372F3A"/>
    <w:rsid w:val="00373030"/>
    <w:rsid w:val="00373A5A"/>
    <w:rsid w:val="003740A6"/>
    <w:rsid w:val="003750BA"/>
    <w:rsid w:val="00375490"/>
    <w:rsid w:val="00375B4D"/>
    <w:rsid w:val="00375D3A"/>
    <w:rsid w:val="00375FFC"/>
    <w:rsid w:val="00376883"/>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3CF7"/>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D8B"/>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4E5B"/>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05"/>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694"/>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4FAD"/>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5DB"/>
    <w:rsid w:val="0044771C"/>
    <w:rsid w:val="0044793E"/>
    <w:rsid w:val="00450579"/>
    <w:rsid w:val="00450876"/>
    <w:rsid w:val="00450E33"/>
    <w:rsid w:val="00450FD9"/>
    <w:rsid w:val="004513AC"/>
    <w:rsid w:val="0045145C"/>
    <w:rsid w:val="004522AD"/>
    <w:rsid w:val="004528F8"/>
    <w:rsid w:val="00452986"/>
    <w:rsid w:val="00452E5A"/>
    <w:rsid w:val="00453051"/>
    <w:rsid w:val="00453053"/>
    <w:rsid w:val="004537DD"/>
    <w:rsid w:val="0045400F"/>
    <w:rsid w:val="004545EC"/>
    <w:rsid w:val="004546B4"/>
    <w:rsid w:val="004546B9"/>
    <w:rsid w:val="00454ED1"/>
    <w:rsid w:val="00455037"/>
    <w:rsid w:val="00455116"/>
    <w:rsid w:val="00455265"/>
    <w:rsid w:val="00455595"/>
    <w:rsid w:val="004557CD"/>
    <w:rsid w:val="004558B5"/>
    <w:rsid w:val="0045590B"/>
    <w:rsid w:val="004559A2"/>
    <w:rsid w:val="00456267"/>
    <w:rsid w:val="0045637F"/>
    <w:rsid w:val="00456816"/>
    <w:rsid w:val="00457E55"/>
    <w:rsid w:val="00457F2B"/>
    <w:rsid w:val="00460239"/>
    <w:rsid w:val="0046046C"/>
    <w:rsid w:val="00460A64"/>
    <w:rsid w:val="00460BDB"/>
    <w:rsid w:val="004610D3"/>
    <w:rsid w:val="00461155"/>
    <w:rsid w:val="004616FC"/>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55B"/>
    <w:rsid w:val="00474CAC"/>
    <w:rsid w:val="00474E38"/>
    <w:rsid w:val="0047518D"/>
    <w:rsid w:val="00475A57"/>
    <w:rsid w:val="00475A71"/>
    <w:rsid w:val="00475DDE"/>
    <w:rsid w:val="00475E8B"/>
    <w:rsid w:val="0047638D"/>
    <w:rsid w:val="004768FF"/>
    <w:rsid w:val="004770C9"/>
    <w:rsid w:val="0047720F"/>
    <w:rsid w:val="00477C7F"/>
    <w:rsid w:val="004802D1"/>
    <w:rsid w:val="004802FE"/>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72"/>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45AE"/>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DBE"/>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2CB8"/>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6DAF"/>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6D48"/>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BB7"/>
    <w:rsid w:val="00557E47"/>
    <w:rsid w:val="00560224"/>
    <w:rsid w:val="005606FC"/>
    <w:rsid w:val="00560A22"/>
    <w:rsid w:val="00560BF0"/>
    <w:rsid w:val="00561648"/>
    <w:rsid w:val="00562492"/>
    <w:rsid w:val="00562945"/>
    <w:rsid w:val="00562B9E"/>
    <w:rsid w:val="00562FFB"/>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2F0B"/>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5D80"/>
    <w:rsid w:val="005A61FD"/>
    <w:rsid w:val="005A629B"/>
    <w:rsid w:val="005A647A"/>
    <w:rsid w:val="005A6568"/>
    <w:rsid w:val="005A68CF"/>
    <w:rsid w:val="005A6E87"/>
    <w:rsid w:val="005A7067"/>
    <w:rsid w:val="005A70BA"/>
    <w:rsid w:val="005A73E5"/>
    <w:rsid w:val="005B0A49"/>
    <w:rsid w:val="005B1195"/>
    <w:rsid w:val="005B12AE"/>
    <w:rsid w:val="005B28DA"/>
    <w:rsid w:val="005B2D63"/>
    <w:rsid w:val="005B2FF0"/>
    <w:rsid w:val="005B3029"/>
    <w:rsid w:val="005B3C83"/>
    <w:rsid w:val="005B4343"/>
    <w:rsid w:val="005B4603"/>
    <w:rsid w:val="005B476E"/>
    <w:rsid w:val="005B4801"/>
    <w:rsid w:val="005B4D96"/>
    <w:rsid w:val="005B4E8B"/>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B"/>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75"/>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1FD5"/>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45C"/>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6D2C"/>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5EF8"/>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0FE6"/>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44D"/>
    <w:rsid w:val="006C75AC"/>
    <w:rsid w:val="006C768F"/>
    <w:rsid w:val="006D0144"/>
    <w:rsid w:val="006D06C3"/>
    <w:rsid w:val="006D15B8"/>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D30"/>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362E"/>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563"/>
    <w:rsid w:val="00740637"/>
    <w:rsid w:val="007408F1"/>
    <w:rsid w:val="007412D9"/>
    <w:rsid w:val="007418EA"/>
    <w:rsid w:val="00741D00"/>
    <w:rsid w:val="00741FFE"/>
    <w:rsid w:val="007422DE"/>
    <w:rsid w:val="00742387"/>
    <w:rsid w:val="00742710"/>
    <w:rsid w:val="00742BE3"/>
    <w:rsid w:val="00743586"/>
    <w:rsid w:val="007438A5"/>
    <w:rsid w:val="00743CAF"/>
    <w:rsid w:val="00743D91"/>
    <w:rsid w:val="00743E64"/>
    <w:rsid w:val="00743F16"/>
    <w:rsid w:val="00744C3F"/>
    <w:rsid w:val="007450F1"/>
    <w:rsid w:val="007452F8"/>
    <w:rsid w:val="00745609"/>
    <w:rsid w:val="00745B00"/>
    <w:rsid w:val="00745CCE"/>
    <w:rsid w:val="00745F8E"/>
    <w:rsid w:val="0074626E"/>
    <w:rsid w:val="00746519"/>
    <w:rsid w:val="0074689C"/>
    <w:rsid w:val="0074749F"/>
    <w:rsid w:val="00750600"/>
    <w:rsid w:val="007508B2"/>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7E9"/>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49A6"/>
    <w:rsid w:val="007954EB"/>
    <w:rsid w:val="007956A3"/>
    <w:rsid w:val="00795797"/>
    <w:rsid w:val="00795B63"/>
    <w:rsid w:val="0079638C"/>
    <w:rsid w:val="0079644E"/>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81E"/>
    <w:rsid w:val="007A7A95"/>
    <w:rsid w:val="007A7F8A"/>
    <w:rsid w:val="007B00E2"/>
    <w:rsid w:val="007B186C"/>
    <w:rsid w:val="007B208E"/>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478"/>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09C"/>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68D"/>
    <w:rsid w:val="00815EB4"/>
    <w:rsid w:val="008161FD"/>
    <w:rsid w:val="00816814"/>
    <w:rsid w:val="00816C80"/>
    <w:rsid w:val="00816EF7"/>
    <w:rsid w:val="0081797B"/>
    <w:rsid w:val="00817A58"/>
    <w:rsid w:val="00820877"/>
    <w:rsid w:val="00820C03"/>
    <w:rsid w:val="00821B22"/>
    <w:rsid w:val="00822665"/>
    <w:rsid w:val="0082266A"/>
    <w:rsid w:val="00822DB3"/>
    <w:rsid w:val="00823826"/>
    <w:rsid w:val="008240BF"/>
    <w:rsid w:val="00824395"/>
    <w:rsid w:val="00825256"/>
    <w:rsid w:val="008253B0"/>
    <w:rsid w:val="00825672"/>
    <w:rsid w:val="00825774"/>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0D8"/>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84E"/>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1E"/>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3C3"/>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AC3"/>
    <w:rsid w:val="008C5E67"/>
    <w:rsid w:val="008C61A4"/>
    <w:rsid w:val="008C6361"/>
    <w:rsid w:val="008C68C3"/>
    <w:rsid w:val="008C7092"/>
    <w:rsid w:val="008C7368"/>
    <w:rsid w:val="008C74A8"/>
    <w:rsid w:val="008C7DEA"/>
    <w:rsid w:val="008D10F8"/>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4B7"/>
    <w:rsid w:val="00940CD5"/>
    <w:rsid w:val="00941236"/>
    <w:rsid w:val="009412E1"/>
    <w:rsid w:val="0094154E"/>
    <w:rsid w:val="009420CF"/>
    <w:rsid w:val="00943428"/>
    <w:rsid w:val="009437F0"/>
    <w:rsid w:val="00944E03"/>
    <w:rsid w:val="0094526E"/>
    <w:rsid w:val="009454DF"/>
    <w:rsid w:val="009457B5"/>
    <w:rsid w:val="00945AFD"/>
    <w:rsid w:val="00945E9B"/>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4F79"/>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36D"/>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3B7"/>
    <w:rsid w:val="009B38E1"/>
    <w:rsid w:val="009B4948"/>
    <w:rsid w:val="009B55F6"/>
    <w:rsid w:val="009B58DC"/>
    <w:rsid w:val="009B5F73"/>
    <w:rsid w:val="009B621A"/>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4AA2"/>
    <w:rsid w:val="009C547E"/>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3A05"/>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3F86"/>
    <w:rsid w:val="009F403C"/>
    <w:rsid w:val="009F4894"/>
    <w:rsid w:val="009F48B8"/>
    <w:rsid w:val="009F4EC5"/>
    <w:rsid w:val="009F4EFE"/>
    <w:rsid w:val="009F50A0"/>
    <w:rsid w:val="009F5F44"/>
    <w:rsid w:val="009F63D0"/>
    <w:rsid w:val="009F640C"/>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2A1"/>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18B"/>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59C8"/>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2808"/>
    <w:rsid w:val="00A735B9"/>
    <w:rsid w:val="00A743EF"/>
    <w:rsid w:val="00A74467"/>
    <w:rsid w:val="00A74DE0"/>
    <w:rsid w:val="00A75447"/>
    <w:rsid w:val="00A75861"/>
    <w:rsid w:val="00A75BEF"/>
    <w:rsid w:val="00A7611C"/>
    <w:rsid w:val="00A76FCA"/>
    <w:rsid w:val="00A772B4"/>
    <w:rsid w:val="00A7736C"/>
    <w:rsid w:val="00A77828"/>
    <w:rsid w:val="00A77F2A"/>
    <w:rsid w:val="00A80201"/>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19A"/>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1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8B9"/>
    <w:rsid w:val="00AD5BED"/>
    <w:rsid w:val="00AD7A40"/>
    <w:rsid w:val="00AD7A97"/>
    <w:rsid w:val="00AE03EB"/>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2FA5"/>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03A"/>
    <w:rsid w:val="00B13CD3"/>
    <w:rsid w:val="00B144B8"/>
    <w:rsid w:val="00B14DFB"/>
    <w:rsid w:val="00B15908"/>
    <w:rsid w:val="00B16248"/>
    <w:rsid w:val="00B166DC"/>
    <w:rsid w:val="00B16D2E"/>
    <w:rsid w:val="00B17167"/>
    <w:rsid w:val="00B17404"/>
    <w:rsid w:val="00B17638"/>
    <w:rsid w:val="00B17700"/>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891"/>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647"/>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11"/>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81"/>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B95"/>
    <w:rsid w:val="00BD6EEC"/>
    <w:rsid w:val="00BD6FEB"/>
    <w:rsid w:val="00BD71BA"/>
    <w:rsid w:val="00BD7746"/>
    <w:rsid w:val="00BE01A4"/>
    <w:rsid w:val="00BE0AF6"/>
    <w:rsid w:val="00BE10C8"/>
    <w:rsid w:val="00BE140E"/>
    <w:rsid w:val="00BE145E"/>
    <w:rsid w:val="00BE1754"/>
    <w:rsid w:val="00BE1F03"/>
    <w:rsid w:val="00BE2379"/>
    <w:rsid w:val="00BE2398"/>
    <w:rsid w:val="00BE272B"/>
    <w:rsid w:val="00BE28AF"/>
    <w:rsid w:val="00BE391A"/>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B0E"/>
    <w:rsid w:val="00BF7D49"/>
    <w:rsid w:val="00BF7E8D"/>
    <w:rsid w:val="00C004DE"/>
    <w:rsid w:val="00C006FB"/>
    <w:rsid w:val="00C00CCE"/>
    <w:rsid w:val="00C01001"/>
    <w:rsid w:val="00C010BF"/>
    <w:rsid w:val="00C0127B"/>
    <w:rsid w:val="00C0148D"/>
    <w:rsid w:val="00C01B52"/>
    <w:rsid w:val="00C02361"/>
    <w:rsid w:val="00C02E59"/>
    <w:rsid w:val="00C03080"/>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1AE8"/>
    <w:rsid w:val="00C12775"/>
    <w:rsid w:val="00C12C29"/>
    <w:rsid w:val="00C134D7"/>
    <w:rsid w:val="00C13A76"/>
    <w:rsid w:val="00C13F11"/>
    <w:rsid w:val="00C14213"/>
    <w:rsid w:val="00C144F2"/>
    <w:rsid w:val="00C146F2"/>
    <w:rsid w:val="00C14912"/>
    <w:rsid w:val="00C149F7"/>
    <w:rsid w:val="00C1510A"/>
    <w:rsid w:val="00C156FF"/>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09"/>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16E0"/>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813"/>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06"/>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4DE5"/>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873"/>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353"/>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30C"/>
    <w:rsid w:val="00CE2435"/>
    <w:rsid w:val="00CE2683"/>
    <w:rsid w:val="00CE30B6"/>
    <w:rsid w:val="00CE3338"/>
    <w:rsid w:val="00CE3366"/>
    <w:rsid w:val="00CE3A6B"/>
    <w:rsid w:val="00CE44D2"/>
    <w:rsid w:val="00CE48D6"/>
    <w:rsid w:val="00CE4B90"/>
    <w:rsid w:val="00CE5663"/>
    <w:rsid w:val="00CE5A9E"/>
    <w:rsid w:val="00CE63E8"/>
    <w:rsid w:val="00CE6887"/>
    <w:rsid w:val="00CE6A5D"/>
    <w:rsid w:val="00CE6F30"/>
    <w:rsid w:val="00CE71BC"/>
    <w:rsid w:val="00CE7249"/>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A8F"/>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0025"/>
    <w:rsid w:val="00D10B50"/>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742"/>
    <w:rsid w:val="00D16B92"/>
    <w:rsid w:val="00D16F5C"/>
    <w:rsid w:val="00D202AD"/>
    <w:rsid w:val="00D206EE"/>
    <w:rsid w:val="00D2090D"/>
    <w:rsid w:val="00D212B7"/>
    <w:rsid w:val="00D22D33"/>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583C"/>
    <w:rsid w:val="00D66188"/>
    <w:rsid w:val="00D661C8"/>
    <w:rsid w:val="00D66252"/>
    <w:rsid w:val="00D6634C"/>
    <w:rsid w:val="00D663B3"/>
    <w:rsid w:val="00D6671B"/>
    <w:rsid w:val="00D66873"/>
    <w:rsid w:val="00D67712"/>
    <w:rsid w:val="00D67A1C"/>
    <w:rsid w:val="00D67B3E"/>
    <w:rsid w:val="00D67F3C"/>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811"/>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2C0D"/>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4EE6"/>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1F2C"/>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38F"/>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6F22"/>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32C"/>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39C"/>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477"/>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B9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54C8"/>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66E2"/>
    <w:rsid w:val="00ED7600"/>
    <w:rsid w:val="00ED78D7"/>
    <w:rsid w:val="00ED78F8"/>
    <w:rsid w:val="00ED7A22"/>
    <w:rsid w:val="00EE04B6"/>
    <w:rsid w:val="00EE0578"/>
    <w:rsid w:val="00EE0646"/>
    <w:rsid w:val="00EE07C1"/>
    <w:rsid w:val="00EE2805"/>
    <w:rsid w:val="00EE356D"/>
    <w:rsid w:val="00EE37DB"/>
    <w:rsid w:val="00EE38DC"/>
    <w:rsid w:val="00EE3E0B"/>
    <w:rsid w:val="00EE3FE5"/>
    <w:rsid w:val="00EE4C23"/>
    <w:rsid w:val="00EE4F48"/>
    <w:rsid w:val="00EE4F79"/>
    <w:rsid w:val="00EE5511"/>
    <w:rsid w:val="00EE55E1"/>
    <w:rsid w:val="00EE56FD"/>
    <w:rsid w:val="00EE5E91"/>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6BB"/>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2DE5"/>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0618"/>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087"/>
    <w:rsid w:val="00F36272"/>
    <w:rsid w:val="00F36FAB"/>
    <w:rsid w:val="00F3707E"/>
    <w:rsid w:val="00F37152"/>
    <w:rsid w:val="00F37C26"/>
    <w:rsid w:val="00F401B1"/>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55"/>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1B9C"/>
    <w:rsid w:val="00F62479"/>
    <w:rsid w:val="00F625A4"/>
    <w:rsid w:val="00F62860"/>
    <w:rsid w:val="00F62D89"/>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5D0"/>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A9"/>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97C78"/>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0A9B"/>
    <w:rsid w:val="00FE15CF"/>
    <w:rsid w:val="00FE21E3"/>
    <w:rsid w:val="00FE2FA2"/>
    <w:rsid w:val="00FE305C"/>
    <w:rsid w:val="00FE4162"/>
    <w:rsid w:val="00FE4479"/>
    <w:rsid w:val="00FE49AC"/>
    <w:rsid w:val="00FE5BB0"/>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4FC3"/>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77227422">
      <w:bodyDiv w:val="1"/>
      <w:marLeft w:val="0"/>
      <w:marRight w:val="0"/>
      <w:marTop w:val="0"/>
      <w:marBottom w:val="0"/>
      <w:divBdr>
        <w:top w:val="none" w:sz="0" w:space="0" w:color="auto"/>
        <w:left w:val="none" w:sz="0" w:space="0" w:color="auto"/>
        <w:bottom w:val="none" w:sz="0" w:space="0" w:color="auto"/>
        <w:right w:val="none" w:sz="0" w:space="0" w:color="auto"/>
      </w:divBdr>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79893015">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50856955">
      <w:bodyDiv w:val="1"/>
      <w:marLeft w:val="0"/>
      <w:marRight w:val="0"/>
      <w:marTop w:val="0"/>
      <w:marBottom w:val="0"/>
      <w:divBdr>
        <w:top w:val="none" w:sz="0" w:space="0" w:color="auto"/>
        <w:left w:val="none" w:sz="0" w:space="0" w:color="auto"/>
        <w:bottom w:val="none" w:sz="0" w:space="0" w:color="auto"/>
        <w:right w:val="none" w:sz="0" w:space="0" w:color="auto"/>
      </w:divBdr>
    </w:div>
    <w:div w:id="756483840">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60065354">
      <w:bodyDiv w:val="1"/>
      <w:marLeft w:val="0"/>
      <w:marRight w:val="0"/>
      <w:marTop w:val="0"/>
      <w:marBottom w:val="0"/>
      <w:divBdr>
        <w:top w:val="none" w:sz="0" w:space="0" w:color="auto"/>
        <w:left w:val="none" w:sz="0" w:space="0" w:color="auto"/>
        <w:bottom w:val="none" w:sz="0" w:space="0" w:color="auto"/>
        <w:right w:val="none" w:sz="0" w:space="0" w:color="auto"/>
      </w:divBdr>
    </w:div>
    <w:div w:id="97360282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92626403">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365904069">
      <w:bodyDiv w:val="1"/>
      <w:marLeft w:val="0"/>
      <w:marRight w:val="0"/>
      <w:marTop w:val="0"/>
      <w:marBottom w:val="0"/>
      <w:divBdr>
        <w:top w:val="none" w:sz="0" w:space="0" w:color="auto"/>
        <w:left w:val="none" w:sz="0" w:space="0" w:color="auto"/>
        <w:bottom w:val="none" w:sz="0" w:space="0" w:color="auto"/>
        <w:right w:val="none" w:sz="0" w:space="0" w:color="auto"/>
      </w:divBdr>
    </w:div>
    <w:div w:id="1392536111">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1713114606">
      <w:bodyDiv w:val="1"/>
      <w:marLeft w:val="0"/>
      <w:marRight w:val="0"/>
      <w:marTop w:val="0"/>
      <w:marBottom w:val="0"/>
      <w:divBdr>
        <w:top w:val="none" w:sz="0" w:space="0" w:color="auto"/>
        <w:left w:val="none" w:sz="0" w:space="0" w:color="auto"/>
        <w:bottom w:val="none" w:sz="0" w:space="0" w:color="auto"/>
        <w:right w:val="none" w:sz="0" w:space="0" w:color="auto"/>
      </w:divBdr>
    </w:div>
    <w:div w:id="1875077959">
      <w:bodyDiv w:val="1"/>
      <w:marLeft w:val="0"/>
      <w:marRight w:val="0"/>
      <w:marTop w:val="0"/>
      <w:marBottom w:val="0"/>
      <w:divBdr>
        <w:top w:val="none" w:sz="0" w:space="0" w:color="auto"/>
        <w:left w:val="none" w:sz="0" w:space="0" w:color="auto"/>
        <w:bottom w:val="none" w:sz="0" w:space="0" w:color="auto"/>
        <w:right w:val="none" w:sz="0" w:space="0" w:color="auto"/>
      </w:divBdr>
    </w:div>
    <w:div w:id="1889680298">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2</TotalTime>
  <Pages>4</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Mylabathula  Varshini</cp:lastModifiedBy>
  <cp:revision>2</cp:revision>
  <dcterms:created xsi:type="dcterms:W3CDTF">2025-11-07T13:32:00Z</dcterms:created>
  <dcterms:modified xsi:type="dcterms:W3CDTF">2025-11-07T13:32:00Z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